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黑体" w:hAnsi="黑体" w:eastAsia="黑体" w:cs="黑体"/>
          <w:color w:val="000000"/>
          <w:kern w:val="0"/>
          <w:sz w:val="32"/>
          <w:szCs w:val="32"/>
          <w:lang w:bidi="ar"/>
        </w:rPr>
      </w:pPr>
      <w:r>
        <w:rPr>
          <w:rFonts w:hint="eastAsia" w:ascii="黑体" w:hAnsi="黑体" w:eastAsia="黑体" w:cs="黑体"/>
          <w:color w:val="000000"/>
          <w:kern w:val="0"/>
          <w:sz w:val="32"/>
          <w:szCs w:val="32"/>
          <w:lang w:bidi="ar"/>
        </w:rPr>
        <w:t>附件5</w:t>
      </w:r>
    </w:p>
    <w:p>
      <w:pPr>
        <w:spacing w:line="560" w:lineRule="exact"/>
        <w:rPr>
          <w:rFonts w:hint="eastAsia" w:ascii="黑体" w:hAnsi="黑体" w:eastAsia="黑体" w:cs="黑体"/>
          <w:color w:val="000000"/>
          <w:kern w:val="0"/>
          <w:sz w:val="32"/>
          <w:szCs w:val="32"/>
          <w:lang w:bidi="ar"/>
        </w:rPr>
      </w:pPr>
    </w:p>
    <w:p>
      <w:pPr>
        <w:jc w:val="center"/>
        <w:rPr>
          <w:rFonts w:hint="eastAsia" w:ascii="宋体" w:hAnsi="宋体" w:cs="宋体"/>
          <w:b/>
          <w:bCs/>
          <w:sz w:val="44"/>
          <w:szCs w:val="44"/>
        </w:rPr>
      </w:pPr>
      <w:r>
        <w:rPr>
          <w:rFonts w:hint="eastAsia" w:ascii="宋体" w:hAnsi="宋体" w:cs="宋体"/>
          <w:b/>
          <w:bCs/>
          <w:sz w:val="44"/>
          <w:szCs w:val="44"/>
          <w:lang w:eastAsia="zh-CN"/>
        </w:rPr>
        <w:t>阜新市市</w:t>
      </w:r>
      <w:r>
        <w:rPr>
          <w:rFonts w:hint="eastAsia" w:ascii="宋体" w:hAnsi="宋体" w:cs="宋体"/>
          <w:b/>
          <w:bCs/>
          <w:sz w:val="44"/>
          <w:szCs w:val="44"/>
        </w:rPr>
        <w:t>级财政预算绩效指标信息采集表</w:t>
      </w:r>
    </w:p>
    <w:p>
      <w:pPr>
        <w:jc w:val="center"/>
        <w:rPr>
          <w:rFonts w:hint="eastAsia" w:ascii="宋体" w:hAnsi="宋体" w:cs="宋体"/>
          <w:b/>
          <w:bCs/>
          <w:sz w:val="32"/>
          <w:szCs w:val="32"/>
        </w:rPr>
      </w:pPr>
    </w:p>
    <w:tbl>
      <w:tblPr>
        <w:tblStyle w:val="9"/>
        <w:tblW w:w="923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3"/>
        <w:gridCol w:w="357"/>
        <w:gridCol w:w="334"/>
        <w:gridCol w:w="316"/>
        <w:gridCol w:w="300"/>
        <w:gridCol w:w="367"/>
        <w:gridCol w:w="317"/>
        <w:gridCol w:w="416"/>
        <w:gridCol w:w="517"/>
        <w:gridCol w:w="433"/>
        <w:gridCol w:w="484"/>
        <w:gridCol w:w="1033"/>
        <w:gridCol w:w="417"/>
        <w:gridCol w:w="383"/>
        <w:gridCol w:w="417"/>
        <w:gridCol w:w="333"/>
        <w:gridCol w:w="546"/>
        <w:gridCol w:w="604"/>
        <w:gridCol w:w="604"/>
        <w:gridCol w:w="6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80" w:hRule="atLeast"/>
          <w:jc w:val="center"/>
        </w:trPr>
        <w:tc>
          <w:tcPr>
            <w:tcW w:w="453" w:type="dxa"/>
            <w:vMerge w:val="restart"/>
            <w:tcMar>
              <w:top w:w="15" w:type="dxa"/>
              <w:left w:w="15" w:type="dxa"/>
              <w:right w:w="15" w:type="dxa"/>
            </w:tcMar>
            <w:vAlign w:val="center"/>
          </w:tcPr>
          <w:p>
            <w:pPr>
              <w:widowControl/>
              <w:jc w:val="center"/>
              <w:textAlignment w:val="center"/>
              <w:rPr>
                <w:rFonts w:hint="eastAsia" w:ascii="宋体" w:hAnsi="宋体" w:cs="宋体"/>
                <w:bCs/>
                <w:color w:val="000000"/>
                <w:kern w:val="0"/>
                <w:szCs w:val="21"/>
                <w:lang w:bidi="ar"/>
              </w:rPr>
            </w:pPr>
            <w:r>
              <w:rPr>
                <w:rFonts w:hint="eastAsia" w:ascii="宋体" w:hAnsi="宋体" w:cs="宋体"/>
                <w:bCs/>
                <w:color w:val="000000"/>
                <w:kern w:val="0"/>
                <w:szCs w:val="21"/>
                <w:lang w:bidi="ar"/>
              </w:rPr>
              <w:t>指标编码</w:t>
            </w:r>
          </w:p>
        </w:tc>
        <w:tc>
          <w:tcPr>
            <w:tcW w:w="357" w:type="dxa"/>
            <w:vMerge w:val="restart"/>
            <w:tcMar>
              <w:top w:w="15" w:type="dxa"/>
              <w:left w:w="15" w:type="dxa"/>
              <w:right w:w="15" w:type="dxa"/>
            </w:tcMar>
            <w:vAlign w:val="center"/>
          </w:tcPr>
          <w:p>
            <w:pPr>
              <w:widowControl/>
              <w:jc w:val="center"/>
              <w:textAlignment w:val="center"/>
              <w:rPr>
                <w:rFonts w:hint="eastAsia" w:ascii="宋体" w:hAnsi="宋体" w:cs="宋体"/>
                <w:bCs/>
                <w:color w:val="000000"/>
                <w:kern w:val="0"/>
                <w:szCs w:val="21"/>
                <w:lang w:bidi="ar"/>
              </w:rPr>
            </w:pPr>
            <w:r>
              <w:rPr>
                <w:rFonts w:hint="eastAsia" w:ascii="宋体" w:hAnsi="宋体" w:cs="宋体"/>
                <w:bCs/>
                <w:color w:val="000000"/>
                <w:kern w:val="0"/>
                <w:szCs w:val="21"/>
                <w:lang w:bidi="ar"/>
              </w:rPr>
              <w:t>资金用途</w:t>
            </w:r>
          </w:p>
        </w:tc>
        <w:tc>
          <w:tcPr>
            <w:tcW w:w="334" w:type="dxa"/>
            <w:vMerge w:val="restart"/>
            <w:tcMar>
              <w:top w:w="15" w:type="dxa"/>
              <w:left w:w="15" w:type="dxa"/>
              <w:right w:w="15" w:type="dxa"/>
            </w:tcMar>
            <w:vAlign w:val="center"/>
          </w:tcPr>
          <w:p>
            <w:pPr>
              <w:widowControl/>
              <w:jc w:val="center"/>
              <w:textAlignment w:val="center"/>
              <w:rPr>
                <w:rFonts w:hint="eastAsia" w:ascii="宋体" w:hAnsi="宋体" w:cs="宋体"/>
                <w:bCs/>
                <w:color w:val="000000"/>
                <w:kern w:val="0"/>
                <w:szCs w:val="21"/>
                <w:lang w:bidi="ar"/>
              </w:rPr>
            </w:pPr>
            <w:r>
              <w:rPr>
                <w:rFonts w:hint="eastAsia" w:ascii="宋体" w:hAnsi="宋体" w:cs="宋体"/>
                <w:bCs/>
                <w:color w:val="000000"/>
                <w:kern w:val="0"/>
                <w:szCs w:val="21"/>
                <w:lang w:bidi="ar"/>
              </w:rPr>
              <w:t>类别</w:t>
            </w:r>
          </w:p>
        </w:tc>
        <w:tc>
          <w:tcPr>
            <w:tcW w:w="316" w:type="dxa"/>
            <w:vMerge w:val="restart"/>
            <w:tcMar>
              <w:top w:w="15" w:type="dxa"/>
              <w:left w:w="15" w:type="dxa"/>
              <w:right w:w="15" w:type="dxa"/>
            </w:tcMar>
            <w:vAlign w:val="center"/>
          </w:tcPr>
          <w:p>
            <w:pPr>
              <w:widowControl/>
              <w:jc w:val="center"/>
              <w:textAlignment w:val="center"/>
              <w:rPr>
                <w:rFonts w:hint="eastAsia" w:ascii="宋体" w:hAnsi="宋体" w:cs="宋体"/>
                <w:bCs/>
                <w:color w:val="000000"/>
                <w:kern w:val="0"/>
                <w:szCs w:val="21"/>
                <w:lang w:bidi="ar"/>
              </w:rPr>
            </w:pPr>
            <w:r>
              <w:rPr>
                <w:rFonts w:hint="eastAsia" w:ascii="宋体" w:hAnsi="宋体" w:cs="宋体"/>
                <w:bCs/>
                <w:color w:val="000000"/>
                <w:kern w:val="0"/>
                <w:szCs w:val="21"/>
                <w:lang w:bidi="ar"/>
              </w:rPr>
              <w:t>行业</w:t>
            </w:r>
          </w:p>
        </w:tc>
        <w:tc>
          <w:tcPr>
            <w:tcW w:w="300" w:type="dxa"/>
            <w:vMerge w:val="restart"/>
            <w:tcMar>
              <w:top w:w="15" w:type="dxa"/>
              <w:left w:w="15" w:type="dxa"/>
              <w:right w:w="15" w:type="dxa"/>
            </w:tcMar>
            <w:vAlign w:val="center"/>
          </w:tcPr>
          <w:p>
            <w:pPr>
              <w:widowControl/>
              <w:jc w:val="center"/>
              <w:textAlignment w:val="center"/>
              <w:rPr>
                <w:rFonts w:hint="eastAsia" w:ascii="宋体" w:hAnsi="宋体" w:cs="宋体"/>
                <w:bCs/>
                <w:color w:val="000000"/>
                <w:kern w:val="0"/>
                <w:szCs w:val="21"/>
                <w:lang w:bidi="ar"/>
              </w:rPr>
            </w:pPr>
            <w:r>
              <w:rPr>
                <w:rFonts w:hint="eastAsia" w:ascii="宋体" w:hAnsi="宋体" w:cs="宋体"/>
                <w:bCs/>
                <w:color w:val="000000"/>
                <w:kern w:val="0"/>
                <w:szCs w:val="21"/>
                <w:lang w:bidi="ar"/>
              </w:rPr>
              <w:t>领域</w:t>
            </w:r>
          </w:p>
        </w:tc>
        <w:tc>
          <w:tcPr>
            <w:tcW w:w="1100" w:type="dxa"/>
            <w:gridSpan w:val="3"/>
            <w:tcMar>
              <w:top w:w="15" w:type="dxa"/>
              <w:left w:w="15" w:type="dxa"/>
              <w:right w:w="15" w:type="dxa"/>
            </w:tcMar>
            <w:vAlign w:val="center"/>
          </w:tcPr>
          <w:p>
            <w:pPr>
              <w:widowControl/>
              <w:jc w:val="center"/>
              <w:textAlignment w:val="center"/>
              <w:rPr>
                <w:rFonts w:hint="eastAsia" w:ascii="宋体" w:hAnsi="宋体" w:cs="宋体"/>
                <w:bCs/>
                <w:color w:val="000000"/>
                <w:kern w:val="0"/>
                <w:szCs w:val="21"/>
                <w:lang w:bidi="ar"/>
              </w:rPr>
            </w:pPr>
            <w:r>
              <w:rPr>
                <w:rFonts w:hint="eastAsia" w:ascii="宋体" w:hAnsi="宋体" w:cs="宋体"/>
                <w:bCs/>
                <w:color w:val="000000"/>
                <w:kern w:val="0"/>
                <w:szCs w:val="21"/>
                <w:lang w:bidi="ar"/>
              </w:rPr>
              <w:t>指标名称</w:t>
            </w:r>
          </w:p>
        </w:tc>
        <w:tc>
          <w:tcPr>
            <w:tcW w:w="517" w:type="dxa"/>
            <w:vMerge w:val="restart"/>
            <w:tcMar>
              <w:top w:w="15" w:type="dxa"/>
              <w:left w:w="15" w:type="dxa"/>
              <w:right w:w="15" w:type="dxa"/>
            </w:tcMar>
            <w:vAlign w:val="center"/>
          </w:tcPr>
          <w:p>
            <w:pPr>
              <w:widowControl/>
              <w:jc w:val="center"/>
              <w:textAlignment w:val="center"/>
              <w:rPr>
                <w:rFonts w:hint="eastAsia" w:ascii="宋体" w:hAnsi="宋体" w:cs="宋体"/>
                <w:bCs/>
                <w:color w:val="000000"/>
                <w:kern w:val="0"/>
                <w:szCs w:val="21"/>
                <w:lang w:bidi="ar"/>
              </w:rPr>
            </w:pPr>
            <w:r>
              <w:rPr>
                <w:rFonts w:hint="eastAsia" w:ascii="宋体" w:hAnsi="宋体" w:cs="宋体"/>
                <w:bCs/>
                <w:color w:val="000000"/>
                <w:kern w:val="0"/>
                <w:szCs w:val="21"/>
                <w:lang w:bidi="ar"/>
              </w:rPr>
              <w:t>指标解释</w:t>
            </w:r>
          </w:p>
        </w:tc>
        <w:tc>
          <w:tcPr>
            <w:tcW w:w="433" w:type="dxa"/>
            <w:vMerge w:val="restart"/>
            <w:tcMar>
              <w:top w:w="15" w:type="dxa"/>
              <w:left w:w="15" w:type="dxa"/>
              <w:right w:w="15" w:type="dxa"/>
            </w:tcMar>
            <w:vAlign w:val="center"/>
          </w:tcPr>
          <w:p>
            <w:pPr>
              <w:widowControl/>
              <w:jc w:val="center"/>
              <w:textAlignment w:val="center"/>
              <w:rPr>
                <w:rFonts w:hint="eastAsia" w:ascii="宋体" w:hAnsi="宋体" w:cs="宋体"/>
                <w:bCs/>
                <w:kern w:val="0"/>
                <w:szCs w:val="21"/>
                <w:lang w:bidi="ar"/>
              </w:rPr>
            </w:pPr>
            <w:r>
              <w:rPr>
                <w:rFonts w:hint="eastAsia" w:ascii="宋体" w:hAnsi="宋体" w:cs="宋体"/>
                <w:bCs/>
                <w:kern w:val="0"/>
                <w:szCs w:val="21"/>
                <w:lang w:bidi="ar"/>
              </w:rPr>
              <w:t>指标依据</w:t>
            </w:r>
          </w:p>
        </w:tc>
        <w:tc>
          <w:tcPr>
            <w:tcW w:w="484" w:type="dxa"/>
            <w:vMerge w:val="restart"/>
            <w:tcMar>
              <w:top w:w="15" w:type="dxa"/>
              <w:left w:w="15" w:type="dxa"/>
              <w:right w:w="15" w:type="dxa"/>
            </w:tcMar>
            <w:vAlign w:val="center"/>
          </w:tcPr>
          <w:p>
            <w:pPr>
              <w:widowControl/>
              <w:jc w:val="center"/>
              <w:textAlignment w:val="center"/>
              <w:rPr>
                <w:rFonts w:hint="eastAsia" w:ascii="宋体" w:hAnsi="宋体" w:cs="宋体"/>
                <w:bCs/>
                <w:szCs w:val="21"/>
              </w:rPr>
            </w:pPr>
            <w:r>
              <w:rPr>
                <w:rFonts w:hint="eastAsia" w:ascii="宋体" w:hAnsi="宋体" w:cs="宋体"/>
                <w:bCs/>
                <w:szCs w:val="21"/>
              </w:rPr>
              <w:t>评分标准</w:t>
            </w:r>
          </w:p>
        </w:tc>
        <w:tc>
          <w:tcPr>
            <w:tcW w:w="2583" w:type="dxa"/>
            <w:gridSpan w:val="5"/>
            <w:tcMar>
              <w:top w:w="15" w:type="dxa"/>
              <w:left w:w="15" w:type="dxa"/>
              <w:right w:w="15" w:type="dxa"/>
            </w:tcMar>
            <w:vAlign w:val="center"/>
          </w:tcPr>
          <w:p>
            <w:pPr>
              <w:widowControl/>
              <w:jc w:val="center"/>
              <w:textAlignment w:val="center"/>
              <w:rPr>
                <w:rFonts w:hint="eastAsia" w:ascii="宋体" w:hAnsi="宋体" w:cs="宋体"/>
                <w:bCs/>
                <w:szCs w:val="21"/>
              </w:rPr>
            </w:pPr>
            <w:r>
              <w:rPr>
                <w:rFonts w:hint="eastAsia" w:ascii="宋体" w:hAnsi="宋体" w:cs="宋体"/>
                <w:bCs/>
                <w:szCs w:val="21"/>
              </w:rPr>
              <w:t>指标值</w:t>
            </w:r>
          </w:p>
        </w:tc>
        <w:tc>
          <w:tcPr>
            <w:tcW w:w="2358" w:type="dxa"/>
            <w:gridSpan w:val="4"/>
            <w:tcMar>
              <w:top w:w="15" w:type="dxa"/>
              <w:left w:w="15" w:type="dxa"/>
              <w:right w:w="15" w:type="dxa"/>
            </w:tcMar>
            <w:vAlign w:val="center"/>
          </w:tcPr>
          <w:p>
            <w:pPr>
              <w:widowControl/>
              <w:jc w:val="center"/>
              <w:textAlignment w:val="center"/>
              <w:rPr>
                <w:rFonts w:hint="eastAsia" w:ascii="宋体" w:hAnsi="宋体" w:cs="宋体"/>
                <w:bCs/>
                <w:szCs w:val="21"/>
              </w:rPr>
            </w:pPr>
            <w:r>
              <w:rPr>
                <w:rFonts w:hint="eastAsia" w:ascii="宋体" w:hAnsi="宋体" w:cs="宋体"/>
                <w:bCs/>
                <w:szCs w:val="21"/>
              </w:rPr>
              <w:t>指标适用范围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80" w:hRule="atLeast"/>
          <w:jc w:val="center"/>
        </w:trPr>
        <w:tc>
          <w:tcPr>
            <w:tcW w:w="453" w:type="dxa"/>
            <w:vMerge w:val="continue"/>
            <w:tcMar>
              <w:top w:w="15" w:type="dxa"/>
              <w:left w:w="15" w:type="dxa"/>
              <w:right w:w="15" w:type="dxa"/>
            </w:tcMar>
            <w:vAlign w:val="center"/>
          </w:tcPr>
          <w:p>
            <w:pPr>
              <w:widowControl/>
              <w:jc w:val="center"/>
              <w:textAlignment w:val="center"/>
              <w:rPr>
                <w:rFonts w:hint="eastAsia" w:ascii="宋体" w:hAnsi="宋体" w:cs="宋体"/>
                <w:bCs/>
                <w:color w:val="000000"/>
                <w:kern w:val="0"/>
                <w:szCs w:val="21"/>
                <w:lang w:bidi="ar"/>
              </w:rPr>
            </w:pPr>
          </w:p>
        </w:tc>
        <w:tc>
          <w:tcPr>
            <w:tcW w:w="357" w:type="dxa"/>
            <w:vMerge w:val="continue"/>
            <w:tcMar>
              <w:top w:w="15" w:type="dxa"/>
              <w:left w:w="15" w:type="dxa"/>
              <w:right w:w="15" w:type="dxa"/>
            </w:tcMar>
            <w:vAlign w:val="center"/>
          </w:tcPr>
          <w:p>
            <w:pPr>
              <w:widowControl/>
              <w:jc w:val="center"/>
              <w:textAlignment w:val="center"/>
              <w:rPr>
                <w:rFonts w:hint="eastAsia" w:ascii="宋体" w:hAnsi="宋体" w:cs="宋体"/>
                <w:bCs/>
                <w:color w:val="000000"/>
                <w:kern w:val="0"/>
                <w:szCs w:val="21"/>
                <w:lang w:bidi="ar"/>
              </w:rPr>
            </w:pPr>
          </w:p>
        </w:tc>
        <w:tc>
          <w:tcPr>
            <w:tcW w:w="334" w:type="dxa"/>
            <w:vMerge w:val="continue"/>
            <w:tcMar>
              <w:top w:w="15" w:type="dxa"/>
              <w:left w:w="15" w:type="dxa"/>
              <w:right w:w="15" w:type="dxa"/>
            </w:tcMar>
            <w:vAlign w:val="center"/>
          </w:tcPr>
          <w:p>
            <w:pPr>
              <w:widowControl/>
              <w:textAlignment w:val="center"/>
              <w:rPr>
                <w:rFonts w:hint="eastAsia" w:ascii="宋体" w:hAnsi="宋体" w:cs="宋体"/>
                <w:bCs/>
                <w:color w:val="000000"/>
                <w:kern w:val="0"/>
                <w:szCs w:val="21"/>
                <w:lang w:bidi="ar"/>
              </w:rPr>
            </w:pPr>
          </w:p>
        </w:tc>
        <w:tc>
          <w:tcPr>
            <w:tcW w:w="316" w:type="dxa"/>
            <w:vMerge w:val="continue"/>
            <w:tcMar>
              <w:top w:w="15" w:type="dxa"/>
              <w:left w:w="15" w:type="dxa"/>
              <w:right w:w="15" w:type="dxa"/>
            </w:tcMar>
            <w:vAlign w:val="center"/>
          </w:tcPr>
          <w:p>
            <w:pPr>
              <w:widowControl/>
              <w:jc w:val="center"/>
              <w:textAlignment w:val="center"/>
              <w:rPr>
                <w:rFonts w:hint="eastAsia" w:ascii="宋体" w:hAnsi="宋体" w:cs="宋体"/>
                <w:bCs/>
                <w:color w:val="000000"/>
                <w:kern w:val="0"/>
                <w:szCs w:val="21"/>
                <w:lang w:bidi="ar"/>
              </w:rPr>
            </w:pPr>
          </w:p>
        </w:tc>
        <w:tc>
          <w:tcPr>
            <w:tcW w:w="300" w:type="dxa"/>
            <w:vMerge w:val="continue"/>
            <w:tcMar>
              <w:top w:w="15" w:type="dxa"/>
              <w:left w:w="15" w:type="dxa"/>
              <w:right w:w="15" w:type="dxa"/>
            </w:tcMar>
            <w:vAlign w:val="center"/>
          </w:tcPr>
          <w:p>
            <w:pPr>
              <w:widowControl/>
              <w:jc w:val="center"/>
              <w:textAlignment w:val="center"/>
              <w:rPr>
                <w:rFonts w:hint="eastAsia" w:ascii="宋体" w:hAnsi="宋体" w:cs="宋体"/>
                <w:bCs/>
                <w:color w:val="000000"/>
                <w:kern w:val="0"/>
                <w:szCs w:val="21"/>
                <w:lang w:bidi="ar"/>
              </w:rPr>
            </w:pPr>
          </w:p>
        </w:tc>
        <w:tc>
          <w:tcPr>
            <w:tcW w:w="367" w:type="dxa"/>
            <w:tcMar>
              <w:top w:w="15" w:type="dxa"/>
              <w:left w:w="15" w:type="dxa"/>
              <w:right w:w="15" w:type="dxa"/>
            </w:tcMar>
            <w:vAlign w:val="center"/>
          </w:tcPr>
          <w:p>
            <w:pPr>
              <w:widowControl/>
              <w:jc w:val="center"/>
              <w:textAlignment w:val="center"/>
              <w:rPr>
                <w:rFonts w:hint="eastAsia" w:ascii="宋体" w:hAnsi="宋体" w:cs="宋体"/>
                <w:bCs/>
                <w:color w:val="000000"/>
                <w:kern w:val="0"/>
                <w:szCs w:val="21"/>
                <w:lang w:bidi="ar"/>
              </w:rPr>
            </w:pPr>
            <w:r>
              <w:rPr>
                <w:rFonts w:hint="eastAsia" w:ascii="宋体" w:hAnsi="宋体" w:cs="宋体"/>
                <w:bCs/>
                <w:color w:val="000000"/>
                <w:kern w:val="0"/>
                <w:szCs w:val="21"/>
                <w:lang w:bidi="ar"/>
              </w:rPr>
              <w:t>一级指标</w:t>
            </w:r>
          </w:p>
        </w:tc>
        <w:tc>
          <w:tcPr>
            <w:tcW w:w="317" w:type="dxa"/>
            <w:tcMar>
              <w:top w:w="15" w:type="dxa"/>
              <w:left w:w="15" w:type="dxa"/>
              <w:right w:w="15" w:type="dxa"/>
            </w:tcMar>
            <w:vAlign w:val="center"/>
          </w:tcPr>
          <w:p>
            <w:pPr>
              <w:widowControl/>
              <w:jc w:val="center"/>
              <w:textAlignment w:val="center"/>
              <w:rPr>
                <w:rFonts w:hint="eastAsia" w:ascii="宋体" w:hAnsi="宋体" w:cs="宋体"/>
                <w:bCs/>
                <w:color w:val="000000"/>
                <w:kern w:val="0"/>
                <w:szCs w:val="21"/>
                <w:lang w:bidi="ar"/>
              </w:rPr>
            </w:pPr>
            <w:r>
              <w:rPr>
                <w:rFonts w:hint="eastAsia" w:ascii="宋体" w:hAnsi="宋体" w:cs="宋体"/>
                <w:bCs/>
                <w:color w:val="000000"/>
                <w:kern w:val="0"/>
                <w:szCs w:val="21"/>
                <w:lang w:bidi="ar"/>
              </w:rPr>
              <w:t>二级指标</w:t>
            </w:r>
          </w:p>
        </w:tc>
        <w:tc>
          <w:tcPr>
            <w:tcW w:w="416" w:type="dxa"/>
            <w:tcMar>
              <w:top w:w="15" w:type="dxa"/>
              <w:left w:w="15" w:type="dxa"/>
              <w:right w:w="15" w:type="dxa"/>
            </w:tcMar>
            <w:vAlign w:val="center"/>
          </w:tcPr>
          <w:p>
            <w:pPr>
              <w:widowControl/>
              <w:jc w:val="center"/>
              <w:textAlignment w:val="center"/>
              <w:rPr>
                <w:rFonts w:hint="eastAsia" w:ascii="宋体" w:hAnsi="宋体" w:cs="宋体"/>
                <w:bCs/>
                <w:color w:val="000000"/>
                <w:kern w:val="0"/>
                <w:szCs w:val="21"/>
                <w:lang w:bidi="ar"/>
              </w:rPr>
            </w:pPr>
            <w:r>
              <w:rPr>
                <w:rFonts w:hint="eastAsia" w:ascii="宋体" w:hAnsi="宋体" w:cs="宋体"/>
                <w:bCs/>
                <w:color w:val="000000"/>
                <w:kern w:val="0"/>
                <w:szCs w:val="21"/>
                <w:lang w:bidi="ar"/>
              </w:rPr>
              <w:t>三级指标</w:t>
            </w:r>
          </w:p>
        </w:tc>
        <w:tc>
          <w:tcPr>
            <w:tcW w:w="517" w:type="dxa"/>
            <w:vMerge w:val="continue"/>
            <w:tcMar>
              <w:top w:w="15" w:type="dxa"/>
              <w:left w:w="15" w:type="dxa"/>
              <w:right w:w="15" w:type="dxa"/>
            </w:tcMar>
            <w:vAlign w:val="center"/>
          </w:tcPr>
          <w:p>
            <w:pPr>
              <w:widowControl/>
              <w:jc w:val="center"/>
              <w:textAlignment w:val="center"/>
              <w:rPr>
                <w:rFonts w:hint="eastAsia" w:ascii="宋体" w:hAnsi="宋体" w:cs="宋体"/>
                <w:bCs/>
                <w:color w:val="000000"/>
                <w:kern w:val="0"/>
                <w:szCs w:val="21"/>
                <w:lang w:bidi="ar"/>
              </w:rPr>
            </w:pPr>
          </w:p>
        </w:tc>
        <w:tc>
          <w:tcPr>
            <w:tcW w:w="433" w:type="dxa"/>
            <w:vMerge w:val="continue"/>
            <w:tcMar>
              <w:top w:w="15" w:type="dxa"/>
              <w:left w:w="15" w:type="dxa"/>
              <w:right w:w="15" w:type="dxa"/>
            </w:tcMar>
            <w:vAlign w:val="center"/>
          </w:tcPr>
          <w:p>
            <w:pPr>
              <w:widowControl/>
              <w:jc w:val="center"/>
              <w:textAlignment w:val="center"/>
              <w:rPr>
                <w:rFonts w:hint="eastAsia" w:ascii="宋体" w:hAnsi="宋体" w:cs="宋体"/>
                <w:bCs/>
                <w:kern w:val="0"/>
                <w:szCs w:val="21"/>
                <w:lang w:bidi="ar"/>
              </w:rPr>
            </w:pPr>
          </w:p>
        </w:tc>
        <w:tc>
          <w:tcPr>
            <w:tcW w:w="484" w:type="dxa"/>
            <w:vMerge w:val="continue"/>
            <w:tcMar>
              <w:top w:w="15" w:type="dxa"/>
              <w:left w:w="15" w:type="dxa"/>
              <w:right w:w="15" w:type="dxa"/>
            </w:tcMar>
            <w:vAlign w:val="center"/>
          </w:tcPr>
          <w:p>
            <w:pPr>
              <w:widowControl/>
              <w:jc w:val="center"/>
              <w:textAlignment w:val="center"/>
              <w:rPr>
                <w:rFonts w:hint="eastAsia" w:ascii="宋体" w:hAnsi="宋体" w:cs="宋体"/>
                <w:bCs/>
                <w:szCs w:val="21"/>
              </w:rPr>
            </w:pPr>
          </w:p>
        </w:tc>
        <w:tc>
          <w:tcPr>
            <w:tcW w:w="1033" w:type="dxa"/>
            <w:tcMar>
              <w:top w:w="15" w:type="dxa"/>
              <w:left w:w="15" w:type="dxa"/>
              <w:right w:w="15" w:type="dxa"/>
            </w:tcMar>
            <w:vAlign w:val="center"/>
          </w:tcPr>
          <w:p>
            <w:pPr>
              <w:widowControl/>
              <w:jc w:val="center"/>
              <w:textAlignment w:val="center"/>
              <w:rPr>
                <w:rFonts w:hint="eastAsia" w:ascii="宋体" w:hAnsi="宋体" w:cs="宋体"/>
                <w:bCs/>
                <w:kern w:val="0"/>
                <w:szCs w:val="21"/>
                <w:lang w:bidi="ar"/>
              </w:rPr>
            </w:pPr>
            <w:r>
              <w:rPr>
                <w:rFonts w:hint="eastAsia" w:ascii="宋体" w:hAnsi="宋体" w:cs="宋体"/>
                <w:bCs/>
                <w:kern w:val="0"/>
                <w:szCs w:val="21"/>
                <w:lang w:bidi="ar"/>
              </w:rPr>
              <w:t>运算符号</w:t>
            </w:r>
          </w:p>
        </w:tc>
        <w:tc>
          <w:tcPr>
            <w:tcW w:w="417" w:type="dxa"/>
            <w:tcMar>
              <w:top w:w="15" w:type="dxa"/>
              <w:left w:w="15" w:type="dxa"/>
              <w:right w:w="15" w:type="dxa"/>
            </w:tcMar>
            <w:vAlign w:val="center"/>
          </w:tcPr>
          <w:p>
            <w:pPr>
              <w:widowControl/>
              <w:jc w:val="center"/>
              <w:textAlignment w:val="center"/>
              <w:rPr>
                <w:rFonts w:hint="eastAsia" w:ascii="宋体" w:hAnsi="宋体" w:cs="宋体"/>
                <w:bCs/>
                <w:kern w:val="0"/>
                <w:szCs w:val="21"/>
                <w:lang w:bidi="ar"/>
              </w:rPr>
            </w:pPr>
            <w:r>
              <w:rPr>
                <w:rFonts w:hint="eastAsia" w:ascii="宋体" w:hAnsi="宋体" w:cs="宋体"/>
                <w:bCs/>
                <w:kern w:val="0"/>
                <w:szCs w:val="21"/>
                <w:lang w:bidi="ar"/>
              </w:rPr>
              <w:t>目标值</w:t>
            </w:r>
          </w:p>
        </w:tc>
        <w:tc>
          <w:tcPr>
            <w:tcW w:w="383" w:type="dxa"/>
            <w:tcMar>
              <w:top w:w="15" w:type="dxa"/>
              <w:left w:w="15" w:type="dxa"/>
              <w:right w:w="15" w:type="dxa"/>
            </w:tcMar>
            <w:vAlign w:val="center"/>
          </w:tcPr>
          <w:p>
            <w:pPr>
              <w:widowControl/>
              <w:jc w:val="center"/>
              <w:textAlignment w:val="center"/>
              <w:rPr>
                <w:rFonts w:hint="eastAsia" w:ascii="宋体" w:hAnsi="宋体" w:cs="宋体"/>
                <w:bCs/>
                <w:kern w:val="0"/>
                <w:szCs w:val="21"/>
                <w:lang w:bidi="ar"/>
              </w:rPr>
            </w:pPr>
            <w:r>
              <w:rPr>
                <w:rFonts w:hint="eastAsia" w:ascii="宋体" w:hAnsi="宋体" w:cs="宋体"/>
                <w:bCs/>
                <w:kern w:val="0"/>
                <w:szCs w:val="21"/>
                <w:lang w:bidi="ar"/>
              </w:rPr>
              <w:t>实际值</w:t>
            </w:r>
          </w:p>
        </w:tc>
        <w:tc>
          <w:tcPr>
            <w:tcW w:w="417" w:type="dxa"/>
            <w:tcMar>
              <w:top w:w="15" w:type="dxa"/>
              <w:left w:w="15" w:type="dxa"/>
              <w:right w:w="15" w:type="dxa"/>
            </w:tcMar>
            <w:vAlign w:val="center"/>
          </w:tcPr>
          <w:p>
            <w:pPr>
              <w:widowControl/>
              <w:jc w:val="center"/>
              <w:textAlignment w:val="center"/>
              <w:rPr>
                <w:rFonts w:hint="eastAsia" w:ascii="宋体" w:hAnsi="宋体" w:cs="宋体"/>
                <w:bCs/>
                <w:kern w:val="0"/>
                <w:szCs w:val="21"/>
                <w:lang w:bidi="ar"/>
              </w:rPr>
            </w:pPr>
            <w:r>
              <w:rPr>
                <w:rFonts w:hint="eastAsia" w:ascii="宋体" w:hAnsi="宋体" w:cs="宋体"/>
                <w:bCs/>
                <w:kern w:val="0"/>
                <w:szCs w:val="21"/>
                <w:lang w:bidi="ar"/>
              </w:rPr>
              <w:t>历史值</w:t>
            </w:r>
          </w:p>
        </w:tc>
        <w:tc>
          <w:tcPr>
            <w:tcW w:w="333" w:type="dxa"/>
            <w:tcMar>
              <w:top w:w="15" w:type="dxa"/>
              <w:left w:w="15" w:type="dxa"/>
              <w:right w:w="15" w:type="dxa"/>
            </w:tcMar>
            <w:vAlign w:val="center"/>
          </w:tcPr>
          <w:p>
            <w:pPr>
              <w:widowControl/>
              <w:jc w:val="center"/>
              <w:textAlignment w:val="center"/>
              <w:rPr>
                <w:rFonts w:hint="eastAsia" w:ascii="宋体" w:hAnsi="宋体" w:cs="宋体"/>
                <w:bCs/>
                <w:kern w:val="0"/>
                <w:szCs w:val="21"/>
                <w:lang w:bidi="ar"/>
              </w:rPr>
            </w:pPr>
            <w:r>
              <w:rPr>
                <w:rFonts w:hint="eastAsia" w:ascii="宋体" w:hAnsi="宋体" w:cs="宋体"/>
                <w:bCs/>
                <w:kern w:val="0"/>
                <w:szCs w:val="21"/>
                <w:lang w:bidi="ar"/>
              </w:rPr>
              <w:t>度量单位</w:t>
            </w:r>
          </w:p>
        </w:tc>
        <w:tc>
          <w:tcPr>
            <w:tcW w:w="546" w:type="dxa"/>
            <w:tcMar>
              <w:top w:w="15" w:type="dxa"/>
              <w:left w:w="15" w:type="dxa"/>
              <w:right w:w="15" w:type="dxa"/>
            </w:tcMar>
            <w:vAlign w:val="center"/>
          </w:tcPr>
          <w:p>
            <w:pPr>
              <w:widowControl/>
              <w:jc w:val="center"/>
              <w:textAlignment w:val="center"/>
              <w:rPr>
                <w:rFonts w:hint="eastAsia" w:ascii="宋体" w:hAnsi="宋体" w:cs="宋体"/>
                <w:bCs/>
                <w:kern w:val="0"/>
                <w:szCs w:val="21"/>
                <w:lang w:bidi="ar"/>
              </w:rPr>
            </w:pPr>
            <w:r>
              <w:rPr>
                <w:rFonts w:hint="eastAsia" w:ascii="宋体" w:hAnsi="宋体" w:cs="宋体"/>
                <w:bCs/>
                <w:kern w:val="0"/>
                <w:szCs w:val="21"/>
                <w:lang w:bidi="ar"/>
              </w:rPr>
              <w:t>指标适用层级</w:t>
            </w:r>
          </w:p>
        </w:tc>
        <w:tc>
          <w:tcPr>
            <w:tcW w:w="604" w:type="dxa"/>
            <w:tcMar>
              <w:top w:w="15" w:type="dxa"/>
              <w:left w:w="15" w:type="dxa"/>
              <w:right w:w="15" w:type="dxa"/>
            </w:tcMar>
            <w:vAlign w:val="center"/>
          </w:tcPr>
          <w:p>
            <w:pPr>
              <w:widowControl/>
              <w:jc w:val="center"/>
              <w:textAlignment w:val="center"/>
              <w:rPr>
                <w:rFonts w:hint="eastAsia" w:ascii="宋体" w:hAnsi="宋体" w:cs="宋体"/>
                <w:bCs/>
                <w:kern w:val="0"/>
                <w:szCs w:val="21"/>
                <w:lang w:bidi="ar"/>
              </w:rPr>
            </w:pPr>
            <w:r>
              <w:rPr>
                <w:rFonts w:hint="eastAsia" w:ascii="宋体" w:hAnsi="宋体" w:cs="宋体"/>
                <w:bCs/>
                <w:kern w:val="0"/>
                <w:szCs w:val="21"/>
                <w:lang w:bidi="ar"/>
              </w:rPr>
              <w:t>指标适用类型</w:t>
            </w:r>
          </w:p>
        </w:tc>
        <w:tc>
          <w:tcPr>
            <w:tcW w:w="604" w:type="dxa"/>
            <w:vAlign w:val="center"/>
          </w:tcPr>
          <w:p>
            <w:pPr>
              <w:widowControl/>
              <w:jc w:val="center"/>
              <w:textAlignment w:val="center"/>
              <w:rPr>
                <w:rFonts w:hint="eastAsia" w:ascii="宋体" w:hAnsi="宋体" w:cs="宋体"/>
                <w:bCs/>
                <w:kern w:val="0"/>
                <w:szCs w:val="21"/>
                <w:lang w:bidi="ar"/>
              </w:rPr>
            </w:pPr>
            <w:r>
              <w:rPr>
                <w:rFonts w:hint="eastAsia" w:ascii="宋体" w:hAnsi="宋体" w:cs="宋体"/>
                <w:bCs/>
                <w:kern w:val="0"/>
                <w:szCs w:val="21"/>
                <w:lang w:bidi="ar"/>
              </w:rPr>
              <w:t>指标适用中央专项</w:t>
            </w:r>
          </w:p>
        </w:tc>
        <w:tc>
          <w:tcPr>
            <w:tcW w:w="604" w:type="dxa"/>
            <w:vAlign w:val="center"/>
          </w:tcPr>
          <w:p>
            <w:pPr>
              <w:widowControl/>
              <w:jc w:val="center"/>
              <w:textAlignment w:val="center"/>
              <w:rPr>
                <w:rFonts w:hint="eastAsia" w:ascii="宋体" w:hAnsi="宋体" w:cs="宋体"/>
                <w:bCs/>
                <w:color w:val="000000"/>
                <w:kern w:val="0"/>
                <w:szCs w:val="21"/>
                <w:lang w:bidi="ar"/>
              </w:rPr>
            </w:pPr>
            <w:r>
              <w:rPr>
                <w:rFonts w:hint="eastAsia" w:ascii="宋体" w:hAnsi="宋体" w:cs="宋体"/>
                <w:bCs/>
                <w:color w:val="000000"/>
                <w:kern w:val="0"/>
                <w:szCs w:val="21"/>
                <w:lang w:bidi="ar"/>
              </w:rPr>
              <w:t>指标适用省级专项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0" w:hRule="atLeast"/>
          <w:jc w:val="center"/>
        </w:trPr>
        <w:tc>
          <w:tcPr>
            <w:tcW w:w="453"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57"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34"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16"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00"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67"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17" w:type="dxa"/>
            <w:tcMar>
              <w:top w:w="15" w:type="dxa"/>
              <w:left w:w="15" w:type="dxa"/>
              <w:right w:w="15" w:type="dxa"/>
            </w:tcMar>
            <w:vAlign w:val="center"/>
          </w:tcPr>
          <w:p>
            <w:pPr>
              <w:jc w:val="center"/>
              <w:rPr>
                <w:rFonts w:hint="eastAsia" w:ascii="仿宋" w:hAnsi="仿宋" w:eastAsia="仿宋" w:cs="仿宋"/>
                <w:bCs/>
                <w:color w:val="000000"/>
                <w:sz w:val="24"/>
              </w:rPr>
            </w:pPr>
          </w:p>
        </w:tc>
        <w:tc>
          <w:tcPr>
            <w:tcW w:w="416" w:type="dxa"/>
            <w:tcMar>
              <w:top w:w="15" w:type="dxa"/>
              <w:left w:w="15" w:type="dxa"/>
              <w:right w:w="15" w:type="dxa"/>
            </w:tcMar>
            <w:vAlign w:val="center"/>
          </w:tcPr>
          <w:p>
            <w:pPr>
              <w:jc w:val="center"/>
              <w:rPr>
                <w:rFonts w:hint="eastAsia" w:ascii="仿宋" w:hAnsi="仿宋" w:eastAsia="仿宋" w:cs="仿宋"/>
                <w:bCs/>
                <w:color w:val="000000"/>
                <w:sz w:val="24"/>
              </w:rPr>
            </w:pPr>
          </w:p>
        </w:tc>
        <w:tc>
          <w:tcPr>
            <w:tcW w:w="517" w:type="dxa"/>
            <w:tcMar>
              <w:top w:w="15" w:type="dxa"/>
              <w:left w:w="15" w:type="dxa"/>
              <w:right w:w="15" w:type="dxa"/>
            </w:tcMar>
            <w:vAlign w:val="center"/>
          </w:tcPr>
          <w:p>
            <w:pPr>
              <w:jc w:val="center"/>
              <w:rPr>
                <w:rFonts w:hint="eastAsia" w:ascii="仿宋" w:hAnsi="仿宋" w:eastAsia="仿宋" w:cs="仿宋"/>
                <w:bCs/>
                <w:color w:val="000000"/>
                <w:sz w:val="24"/>
              </w:rPr>
            </w:pPr>
          </w:p>
        </w:tc>
        <w:tc>
          <w:tcPr>
            <w:tcW w:w="433" w:type="dxa"/>
            <w:tcMar>
              <w:top w:w="15" w:type="dxa"/>
              <w:left w:w="15" w:type="dxa"/>
              <w:right w:w="15" w:type="dxa"/>
            </w:tcMar>
            <w:vAlign w:val="center"/>
          </w:tcPr>
          <w:p>
            <w:pPr>
              <w:jc w:val="center"/>
              <w:rPr>
                <w:rFonts w:hint="eastAsia" w:ascii="仿宋" w:hAnsi="仿宋" w:eastAsia="仿宋" w:cs="仿宋"/>
                <w:bCs/>
                <w:sz w:val="24"/>
              </w:rPr>
            </w:pPr>
          </w:p>
        </w:tc>
        <w:tc>
          <w:tcPr>
            <w:tcW w:w="484" w:type="dxa"/>
            <w:tcMar>
              <w:top w:w="15" w:type="dxa"/>
              <w:left w:w="15" w:type="dxa"/>
              <w:right w:w="15" w:type="dxa"/>
            </w:tcMar>
            <w:vAlign w:val="center"/>
          </w:tcPr>
          <w:p>
            <w:pPr>
              <w:jc w:val="center"/>
              <w:rPr>
                <w:rFonts w:hint="eastAsia" w:ascii="仿宋" w:hAnsi="仿宋" w:eastAsia="仿宋" w:cs="仿宋"/>
                <w:bCs/>
                <w:sz w:val="24"/>
              </w:rPr>
            </w:pPr>
          </w:p>
        </w:tc>
        <w:tc>
          <w:tcPr>
            <w:tcW w:w="1033" w:type="dxa"/>
            <w:vMerge w:val="restart"/>
            <w:tcMar>
              <w:top w:w="15" w:type="dxa"/>
              <w:left w:w="15" w:type="dxa"/>
              <w:right w:w="15" w:type="dxa"/>
            </w:tcMar>
            <w:vAlign w:val="center"/>
          </w:tcPr>
          <w:p>
            <w:pPr>
              <w:widowControl/>
              <w:jc w:val="left"/>
              <w:rPr>
                <w:rFonts w:hint="eastAsia" w:ascii="仿宋" w:hAnsi="仿宋" w:eastAsia="仿宋" w:cs="仿宋"/>
                <w:bCs/>
                <w:sz w:val="24"/>
              </w:rPr>
            </w:pPr>
            <w:r>
              <w:rPr>
                <w:rFonts w:hint="eastAsia" w:ascii="仿宋_GB2312" w:hAnsi="仿宋_GB2312" w:eastAsia="仿宋_GB2312" w:cs="仿宋_GB2312"/>
                <w:szCs w:val="21"/>
              </w:rPr>
              <w:t>“=”“≤”“≥”“＜”“＞”</w:t>
            </w:r>
          </w:p>
        </w:tc>
        <w:tc>
          <w:tcPr>
            <w:tcW w:w="417" w:type="dxa"/>
            <w:tcMar>
              <w:top w:w="15" w:type="dxa"/>
              <w:left w:w="15" w:type="dxa"/>
              <w:right w:w="15" w:type="dxa"/>
            </w:tcMar>
            <w:vAlign w:val="center"/>
          </w:tcPr>
          <w:p>
            <w:pPr>
              <w:jc w:val="center"/>
              <w:rPr>
                <w:rFonts w:hint="eastAsia" w:ascii="仿宋" w:hAnsi="仿宋" w:eastAsia="仿宋" w:cs="仿宋"/>
                <w:bCs/>
                <w:sz w:val="24"/>
              </w:rPr>
            </w:pPr>
          </w:p>
        </w:tc>
        <w:tc>
          <w:tcPr>
            <w:tcW w:w="383" w:type="dxa"/>
            <w:tcMar>
              <w:top w:w="15" w:type="dxa"/>
              <w:left w:w="15" w:type="dxa"/>
              <w:right w:w="15" w:type="dxa"/>
            </w:tcMar>
            <w:vAlign w:val="center"/>
          </w:tcPr>
          <w:p>
            <w:pPr>
              <w:jc w:val="center"/>
              <w:rPr>
                <w:rFonts w:hint="eastAsia" w:ascii="仿宋" w:hAnsi="仿宋" w:eastAsia="仿宋" w:cs="仿宋"/>
                <w:bCs/>
                <w:sz w:val="24"/>
              </w:rPr>
            </w:pPr>
          </w:p>
        </w:tc>
        <w:tc>
          <w:tcPr>
            <w:tcW w:w="417" w:type="dxa"/>
            <w:tcMar>
              <w:top w:w="15" w:type="dxa"/>
              <w:left w:w="15" w:type="dxa"/>
              <w:right w:w="15" w:type="dxa"/>
            </w:tcMar>
            <w:vAlign w:val="center"/>
          </w:tcPr>
          <w:p>
            <w:pPr>
              <w:jc w:val="center"/>
              <w:rPr>
                <w:rFonts w:hint="eastAsia" w:ascii="仿宋" w:hAnsi="仿宋" w:eastAsia="仿宋" w:cs="仿宋"/>
                <w:bCs/>
                <w:sz w:val="24"/>
              </w:rPr>
            </w:pPr>
          </w:p>
        </w:tc>
        <w:tc>
          <w:tcPr>
            <w:tcW w:w="333" w:type="dxa"/>
            <w:tcMar>
              <w:top w:w="15" w:type="dxa"/>
              <w:left w:w="15" w:type="dxa"/>
              <w:right w:w="15" w:type="dxa"/>
            </w:tcMar>
            <w:vAlign w:val="center"/>
          </w:tcPr>
          <w:p>
            <w:pPr>
              <w:jc w:val="center"/>
              <w:rPr>
                <w:rFonts w:hint="eastAsia" w:ascii="仿宋" w:hAnsi="仿宋" w:eastAsia="仿宋" w:cs="仿宋"/>
                <w:bCs/>
                <w:sz w:val="24"/>
              </w:rPr>
            </w:pPr>
          </w:p>
        </w:tc>
        <w:tc>
          <w:tcPr>
            <w:tcW w:w="546" w:type="dxa"/>
            <w:tcMar>
              <w:top w:w="15" w:type="dxa"/>
              <w:left w:w="15" w:type="dxa"/>
              <w:right w:w="15" w:type="dxa"/>
            </w:tcMar>
            <w:vAlign w:val="center"/>
          </w:tcPr>
          <w:p>
            <w:pPr>
              <w:jc w:val="center"/>
              <w:rPr>
                <w:rFonts w:hint="eastAsia" w:ascii="仿宋" w:hAnsi="仿宋" w:eastAsia="仿宋" w:cs="仿宋"/>
                <w:bCs/>
                <w:sz w:val="24"/>
              </w:rPr>
            </w:pPr>
          </w:p>
        </w:tc>
        <w:tc>
          <w:tcPr>
            <w:tcW w:w="604" w:type="dxa"/>
            <w:tcMar>
              <w:top w:w="15" w:type="dxa"/>
              <w:left w:w="15" w:type="dxa"/>
              <w:right w:w="15" w:type="dxa"/>
            </w:tcMar>
            <w:vAlign w:val="center"/>
          </w:tcPr>
          <w:p>
            <w:pPr>
              <w:jc w:val="center"/>
              <w:rPr>
                <w:rFonts w:hint="eastAsia" w:ascii="仿宋" w:hAnsi="仿宋" w:eastAsia="仿宋" w:cs="仿宋"/>
                <w:bCs/>
                <w:sz w:val="24"/>
              </w:rPr>
            </w:pPr>
          </w:p>
        </w:tc>
        <w:tc>
          <w:tcPr>
            <w:tcW w:w="604" w:type="dxa"/>
            <w:vAlign w:val="top"/>
          </w:tcPr>
          <w:p>
            <w:pPr>
              <w:jc w:val="center"/>
              <w:rPr>
                <w:rFonts w:hint="eastAsia" w:ascii="仿宋" w:hAnsi="仿宋" w:eastAsia="仿宋" w:cs="仿宋"/>
                <w:bCs/>
                <w:sz w:val="24"/>
              </w:rPr>
            </w:pPr>
          </w:p>
        </w:tc>
        <w:tc>
          <w:tcPr>
            <w:tcW w:w="604" w:type="dxa"/>
            <w:vAlign w:val="top"/>
          </w:tcPr>
          <w:p>
            <w:pPr>
              <w:jc w:val="center"/>
              <w:rPr>
                <w:rFonts w:hint="eastAsia" w:ascii="仿宋" w:hAnsi="仿宋" w:eastAsia="仿宋" w:cs="仿宋"/>
                <w:bCs/>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0" w:hRule="atLeast"/>
          <w:jc w:val="center"/>
        </w:trPr>
        <w:tc>
          <w:tcPr>
            <w:tcW w:w="453"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57"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34"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16"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00"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67"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17" w:type="dxa"/>
            <w:tcMar>
              <w:top w:w="15" w:type="dxa"/>
              <w:left w:w="15" w:type="dxa"/>
              <w:right w:w="15" w:type="dxa"/>
            </w:tcMar>
            <w:vAlign w:val="center"/>
          </w:tcPr>
          <w:p>
            <w:pPr>
              <w:jc w:val="center"/>
              <w:rPr>
                <w:rFonts w:hint="eastAsia" w:ascii="仿宋" w:hAnsi="仿宋" w:eastAsia="仿宋" w:cs="仿宋"/>
                <w:bCs/>
                <w:color w:val="000000"/>
                <w:sz w:val="24"/>
              </w:rPr>
            </w:pPr>
          </w:p>
        </w:tc>
        <w:tc>
          <w:tcPr>
            <w:tcW w:w="416" w:type="dxa"/>
            <w:tcMar>
              <w:top w:w="15" w:type="dxa"/>
              <w:left w:w="15" w:type="dxa"/>
              <w:right w:w="15" w:type="dxa"/>
            </w:tcMar>
            <w:vAlign w:val="center"/>
          </w:tcPr>
          <w:p>
            <w:pPr>
              <w:jc w:val="center"/>
              <w:rPr>
                <w:rFonts w:hint="eastAsia" w:ascii="仿宋" w:hAnsi="仿宋" w:eastAsia="仿宋" w:cs="仿宋"/>
                <w:bCs/>
                <w:color w:val="000000"/>
                <w:sz w:val="24"/>
              </w:rPr>
            </w:pPr>
          </w:p>
        </w:tc>
        <w:tc>
          <w:tcPr>
            <w:tcW w:w="517" w:type="dxa"/>
            <w:tcMar>
              <w:top w:w="15" w:type="dxa"/>
              <w:left w:w="15" w:type="dxa"/>
              <w:right w:w="15" w:type="dxa"/>
            </w:tcMar>
            <w:vAlign w:val="center"/>
          </w:tcPr>
          <w:p>
            <w:pPr>
              <w:jc w:val="center"/>
              <w:rPr>
                <w:rFonts w:hint="eastAsia" w:ascii="仿宋" w:hAnsi="仿宋" w:eastAsia="仿宋" w:cs="仿宋"/>
                <w:bCs/>
                <w:color w:val="000000"/>
                <w:sz w:val="24"/>
              </w:rPr>
            </w:pPr>
          </w:p>
        </w:tc>
        <w:tc>
          <w:tcPr>
            <w:tcW w:w="433" w:type="dxa"/>
            <w:tcMar>
              <w:top w:w="15" w:type="dxa"/>
              <w:left w:w="15" w:type="dxa"/>
              <w:right w:w="15" w:type="dxa"/>
            </w:tcMar>
            <w:vAlign w:val="center"/>
          </w:tcPr>
          <w:p>
            <w:pPr>
              <w:jc w:val="center"/>
              <w:rPr>
                <w:rFonts w:hint="eastAsia" w:ascii="仿宋" w:hAnsi="仿宋" w:eastAsia="仿宋" w:cs="仿宋"/>
                <w:bCs/>
                <w:color w:val="FF0000"/>
                <w:sz w:val="24"/>
              </w:rPr>
            </w:pPr>
          </w:p>
        </w:tc>
        <w:tc>
          <w:tcPr>
            <w:tcW w:w="484" w:type="dxa"/>
            <w:tcMar>
              <w:top w:w="15" w:type="dxa"/>
              <w:left w:w="15" w:type="dxa"/>
              <w:right w:w="15" w:type="dxa"/>
            </w:tcMar>
            <w:vAlign w:val="center"/>
          </w:tcPr>
          <w:p>
            <w:pPr>
              <w:jc w:val="center"/>
              <w:rPr>
                <w:rFonts w:hint="eastAsia" w:ascii="仿宋" w:hAnsi="仿宋" w:eastAsia="仿宋" w:cs="仿宋"/>
                <w:bCs/>
                <w:color w:val="000000"/>
                <w:sz w:val="24"/>
              </w:rPr>
            </w:pPr>
          </w:p>
        </w:tc>
        <w:tc>
          <w:tcPr>
            <w:tcW w:w="1033" w:type="dxa"/>
            <w:vMerge w:val="continue"/>
            <w:tcMar>
              <w:top w:w="15" w:type="dxa"/>
              <w:left w:w="15" w:type="dxa"/>
              <w:right w:w="15" w:type="dxa"/>
            </w:tcMar>
            <w:vAlign w:val="center"/>
          </w:tcPr>
          <w:p>
            <w:pPr>
              <w:jc w:val="center"/>
              <w:rPr>
                <w:rFonts w:hint="eastAsia" w:ascii="仿宋" w:hAnsi="仿宋" w:eastAsia="仿宋" w:cs="仿宋"/>
                <w:bCs/>
                <w:color w:val="000000"/>
                <w:sz w:val="24"/>
              </w:rPr>
            </w:pPr>
          </w:p>
        </w:tc>
        <w:tc>
          <w:tcPr>
            <w:tcW w:w="417"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83" w:type="dxa"/>
            <w:tcMar>
              <w:top w:w="15" w:type="dxa"/>
              <w:left w:w="15" w:type="dxa"/>
              <w:right w:w="15" w:type="dxa"/>
            </w:tcMar>
            <w:vAlign w:val="center"/>
          </w:tcPr>
          <w:p>
            <w:pPr>
              <w:jc w:val="center"/>
              <w:rPr>
                <w:rFonts w:hint="eastAsia" w:ascii="仿宋" w:hAnsi="仿宋" w:eastAsia="仿宋" w:cs="仿宋"/>
                <w:bCs/>
                <w:color w:val="000000"/>
                <w:sz w:val="24"/>
              </w:rPr>
            </w:pPr>
          </w:p>
        </w:tc>
        <w:tc>
          <w:tcPr>
            <w:tcW w:w="417"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33" w:type="dxa"/>
            <w:tcMar>
              <w:top w:w="15" w:type="dxa"/>
              <w:left w:w="15" w:type="dxa"/>
              <w:right w:w="15" w:type="dxa"/>
            </w:tcMar>
            <w:vAlign w:val="center"/>
          </w:tcPr>
          <w:p>
            <w:pPr>
              <w:jc w:val="center"/>
              <w:rPr>
                <w:rFonts w:hint="eastAsia" w:ascii="仿宋" w:hAnsi="仿宋" w:eastAsia="仿宋" w:cs="仿宋"/>
                <w:bCs/>
                <w:color w:val="000000"/>
                <w:sz w:val="24"/>
              </w:rPr>
            </w:pPr>
          </w:p>
        </w:tc>
        <w:tc>
          <w:tcPr>
            <w:tcW w:w="546" w:type="dxa"/>
            <w:tcMar>
              <w:top w:w="15" w:type="dxa"/>
              <w:left w:w="15" w:type="dxa"/>
              <w:right w:w="15" w:type="dxa"/>
            </w:tcMar>
            <w:vAlign w:val="center"/>
          </w:tcPr>
          <w:p>
            <w:pPr>
              <w:jc w:val="center"/>
              <w:rPr>
                <w:rFonts w:hint="eastAsia" w:ascii="仿宋" w:hAnsi="仿宋" w:eastAsia="仿宋" w:cs="仿宋"/>
                <w:bCs/>
                <w:color w:val="FF0000"/>
                <w:sz w:val="24"/>
              </w:rPr>
            </w:pPr>
          </w:p>
        </w:tc>
        <w:tc>
          <w:tcPr>
            <w:tcW w:w="604" w:type="dxa"/>
            <w:tcMar>
              <w:top w:w="15" w:type="dxa"/>
              <w:left w:w="15" w:type="dxa"/>
              <w:right w:w="15" w:type="dxa"/>
            </w:tcMar>
            <w:vAlign w:val="center"/>
          </w:tcPr>
          <w:p>
            <w:pPr>
              <w:jc w:val="center"/>
              <w:rPr>
                <w:rFonts w:hint="eastAsia" w:ascii="仿宋" w:hAnsi="仿宋" w:eastAsia="仿宋" w:cs="仿宋"/>
                <w:bCs/>
                <w:color w:val="000000"/>
                <w:sz w:val="24"/>
              </w:rPr>
            </w:pPr>
          </w:p>
        </w:tc>
        <w:tc>
          <w:tcPr>
            <w:tcW w:w="604" w:type="dxa"/>
            <w:vAlign w:val="top"/>
          </w:tcPr>
          <w:p>
            <w:pPr>
              <w:jc w:val="center"/>
              <w:rPr>
                <w:rFonts w:hint="eastAsia" w:ascii="仿宋" w:hAnsi="仿宋" w:eastAsia="仿宋" w:cs="仿宋"/>
                <w:bCs/>
                <w:color w:val="000000"/>
                <w:sz w:val="24"/>
              </w:rPr>
            </w:pPr>
          </w:p>
        </w:tc>
        <w:tc>
          <w:tcPr>
            <w:tcW w:w="604" w:type="dxa"/>
            <w:vAlign w:val="top"/>
          </w:tcPr>
          <w:p>
            <w:pPr>
              <w:jc w:val="center"/>
              <w:rPr>
                <w:rFonts w:hint="eastAsia" w:ascii="仿宋" w:hAnsi="仿宋" w:eastAsia="仿宋" w:cs="仿宋"/>
                <w:bCs/>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0" w:hRule="atLeast"/>
          <w:jc w:val="center"/>
        </w:trPr>
        <w:tc>
          <w:tcPr>
            <w:tcW w:w="453"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57"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34"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16"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00"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67"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17" w:type="dxa"/>
            <w:tcMar>
              <w:top w:w="15" w:type="dxa"/>
              <w:left w:w="15" w:type="dxa"/>
              <w:right w:w="15" w:type="dxa"/>
            </w:tcMar>
            <w:vAlign w:val="center"/>
          </w:tcPr>
          <w:p>
            <w:pPr>
              <w:jc w:val="center"/>
              <w:rPr>
                <w:rFonts w:hint="eastAsia" w:ascii="仿宋" w:hAnsi="仿宋" w:eastAsia="仿宋" w:cs="仿宋"/>
                <w:bCs/>
                <w:color w:val="000000"/>
                <w:sz w:val="24"/>
              </w:rPr>
            </w:pPr>
          </w:p>
        </w:tc>
        <w:tc>
          <w:tcPr>
            <w:tcW w:w="416" w:type="dxa"/>
            <w:tcMar>
              <w:top w:w="15" w:type="dxa"/>
              <w:left w:w="15" w:type="dxa"/>
              <w:right w:w="15" w:type="dxa"/>
            </w:tcMar>
            <w:vAlign w:val="center"/>
          </w:tcPr>
          <w:p>
            <w:pPr>
              <w:jc w:val="center"/>
              <w:rPr>
                <w:rFonts w:hint="eastAsia" w:ascii="仿宋" w:hAnsi="仿宋" w:eastAsia="仿宋" w:cs="仿宋"/>
                <w:bCs/>
                <w:color w:val="000000"/>
                <w:sz w:val="24"/>
              </w:rPr>
            </w:pPr>
          </w:p>
        </w:tc>
        <w:tc>
          <w:tcPr>
            <w:tcW w:w="517" w:type="dxa"/>
            <w:tcMar>
              <w:top w:w="15" w:type="dxa"/>
              <w:left w:w="15" w:type="dxa"/>
              <w:right w:w="15" w:type="dxa"/>
            </w:tcMar>
            <w:vAlign w:val="center"/>
          </w:tcPr>
          <w:p>
            <w:pPr>
              <w:jc w:val="center"/>
              <w:rPr>
                <w:rFonts w:hint="eastAsia" w:ascii="仿宋" w:hAnsi="仿宋" w:eastAsia="仿宋" w:cs="仿宋"/>
                <w:bCs/>
                <w:color w:val="000000"/>
                <w:sz w:val="24"/>
              </w:rPr>
            </w:pPr>
          </w:p>
        </w:tc>
        <w:tc>
          <w:tcPr>
            <w:tcW w:w="433" w:type="dxa"/>
            <w:tcMar>
              <w:top w:w="15" w:type="dxa"/>
              <w:left w:w="15" w:type="dxa"/>
              <w:right w:w="15" w:type="dxa"/>
            </w:tcMar>
            <w:vAlign w:val="center"/>
          </w:tcPr>
          <w:p>
            <w:pPr>
              <w:jc w:val="center"/>
              <w:rPr>
                <w:rFonts w:hint="eastAsia" w:ascii="仿宋" w:hAnsi="仿宋" w:eastAsia="仿宋" w:cs="仿宋"/>
                <w:bCs/>
                <w:color w:val="FF0000"/>
                <w:sz w:val="24"/>
              </w:rPr>
            </w:pPr>
          </w:p>
        </w:tc>
        <w:tc>
          <w:tcPr>
            <w:tcW w:w="484" w:type="dxa"/>
            <w:tcMar>
              <w:top w:w="15" w:type="dxa"/>
              <w:left w:w="15" w:type="dxa"/>
              <w:right w:w="15" w:type="dxa"/>
            </w:tcMar>
            <w:vAlign w:val="center"/>
          </w:tcPr>
          <w:p>
            <w:pPr>
              <w:jc w:val="center"/>
              <w:rPr>
                <w:rFonts w:hint="eastAsia" w:ascii="仿宋" w:hAnsi="仿宋" w:eastAsia="仿宋" w:cs="仿宋"/>
                <w:bCs/>
                <w:color w:val="000000"/>
                <w:sz w:val="24"/>
              </w:rPr>
            </w:pPr>
          </w:p>
        </w:tc>
        <w:tc>
          <w:tcPr>
            <w:tcW w:w="1033" w:type="dxa"/>
            <w:vMerge w:val="continue"/>
            <w:tcMar>
              <w:top w:w="15" w:type="dxa"/>
              <w:left w:w="15" w:type="dxa"/>
              <w:right w:w="15" w:type="dxa"/>
            </w:tcMar>
            <w:vAlign w:val="center"/>
          </w:tcPr>
          <w:p>
            <w:pPr>
              <w:jc w:val="center"/>
              <w:rPr>
                <w:rFonts w:hint="eastAsia" w:ascii="仿宋" w:hAnsi="仿宋" w:eastAsia="仿宋" w:cs="仿宋"/>
                <w:bCs/>
                <w:color w:val="000000"/>
                <w:sz w:val="24"/>
              </w:rPr>
            </w:pPr>
          </w:p>
        </w:tc>
        <w:tc>
          <w:tcPr>
            <w:tcW w:w="417"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83" w:type="dxa"/>
            <w:tcMar>
              <w:top w:w="15" w:type="dxa"/>
              <w:left w:w="15" w:type="dxa"/>
              <w:right w:w="15" w:type="dxa"/>
            </w:tcMar>
            <w:vAlign w:val="center"/>
          </w:tcPr>
          <w:p>
            <w:pPr>
              <w:jc w:val="center"/>
              <w:rPr>
                <w:rFonts w:hint="eastAsia" w:ascii="仿宋" w:hAnsi="仿宋" w:eastAsia="仿宋" w:cs="仿宋"/>
                <w:bCs/>
                <w:color w:val="000000"/>
                <w:sz w:val="24"/>
              </w:rPr>
            </w:pPr>
          </w:p>
        </w:tc>
        <w:tc>
          <w:tcPr>
            <w:tcW w:w="417" w:type="dxa"/>
            <w:tcMar>
              <w:top w:w="15" w:type="dxa"/>
              <w:left w:w="15" w:type="dxa"/>
              <w:right w:w="15" w:type="dxa"/>
            </w:tcMar>
            <w:vAlign w:val="center"/>
          </w:tcPr>
          <w:p>
            <w:pPr>
              <w:jc w:val="center"/>
              <w:rPr>
                <w:rFonts w:hint="eastAsia" w:ascii="仿宋" w:hAnsi="仿宋" w:eastAsia="仿宋" w:cs="仿宋"/>
                <w:bCs/>
                <w:color w:val="000000"/>
                <w:sz w:val="24"/>
              </w:rPr>
            </w:pPr>
          </w:p>
        </w:tc>
        <w:tc>
          <w:tcPr>
            <w:tcW w:w="333" w:type="dxa"/>
            <w:tcMar>
              <w:top w:w="15" w:type="dxa"/>
              <w:left w:w="15" w:type="dxa"/>
              <w:right w:w="15" w:type="dxa"/>
            </w:tcMar>
            <w:vAlign w:val="center"/>
          </w:tcPr>
          <w:p>
            <w:pPr>
              <w:jc w:val="center"/>
              <w:rPr>
                <w:rFonts w:hint="eastAsia" w:ascii="仿宋" w:hAnsi="仿宋" w:eastAsia="仿宋" w:cs="仿宋"/>
                <w:bCs/>
                <w:color w:val="000000"/>
                <w:sz w:val="24"/>
              </w:rPr>
            </w:pPr>
          </w:p>
        </w:tc>
        <w:tc>
          <w:tcPr>
            <w:tcW w:w="546" w:type="dxa"/>
            <w:tcMar>
              <w:top w:w="15" w:type="dxa"/>
              <w:left w:w="15" w:type="dxa"/>
              <w:right w:w="15" w:type="dxa"/>
            </w:tcMar>
            <w:vAlign w:val="center"/>
          </w:tcPr>
          <w:p>
            <w:pPr>
              <w:jc w:val="center"/>
              <w:rPr>
                <w:rFonts w:hint="eastAsia" w:ascii="仿宋" w:hAnsi="仿宋" w:eastAsia="仿宋" w:cs="仿宋"/>
                <w:bCs/>
                <w:color w:val="FF0000"/>
                <w:sz w:val="24"/>
              </w:rPr>
            </w:pPr>
          </w:p>
        </w:tc>
        <w:tc>
          <w:tcPr>
            <w:tcW w:w="604" w:type="dxa"/>
            <w:tcMar>
              <w:top w:w="15" w:type="dxa"/>
              <w:left w:w="15" w:type="dxa"/>
              <w:right w:w="15" w:type="dxa"/>
            </w:tcMar>
            <w:vAlign w:val="center"/>
          </w:tcPr>
          <w:p>
            <w:pPr>
              <w:jc w:val="center"/>
              <w:rPr>
                <w:rFonts w:hint="eastAsia" w:ascii="仿宋" w:hAnsi="仿宋" w:eastAsia="仿宋" w:cs="仿宋"/>
                <w:bCs/>
                <w:color w:val="000000"/>
                <w:sz w:val="24"/>
              </w:rPr>
            </w:pPr>
          </w:p>
        </w:tc>
        <w:tc>
          <w:tcPr>
            <w:tcW w:w="604" w:type="dxa"/>
            <w:vAlign w:val="top"/>
          </w:tcPr>
          <w:p>
            <w:pPr>
              <w:jc w:val="center"/>
              <w:rPr>
                <w:rFonts w:hint="eastAsia" w:ascii="仿宋" w:hAnsi="仿宋" w:eastAsia="仿宋" w:cs="仿宋"/>
                <w:bCs/>
                <w:color w:val="000000"/>
                <w:sz w:val="24"/>
              </w:rPr>
            </w:pPr>
          </w:p>
        </w:tc>
        <w:tc>
          <w:tcPr>
            <w:tcW w:w="604" w:type="dxa"/>
            <w:vAlign w:val="top"/>
          </w:tcPr>
          <w:p>
            <w:pPr>
              <w:jc w:val="center"/>
              <w:rPr>
                <w:rFonts w:hint="eastAsia" w:ascii="仿宋" w:hAnsi="仿宋" w:eastAsia="仿宋" w:cs="仿宋"/>
                <w:bCs/>
                <w:color w:val="000000"/>
                <w:sz w:val="24"/>
              </w:rPr>
            </w:pPr>
          </w:p>
        </w:tc>
      </w:tr>
    </w:tbl>
    <w:p>
      <w:pPr>
        <w:widowControl/>
        <w:jc w:val="left"/>
        <w:rPr>
          <w:rFonts w:hint="eastAsia" w:ascii="宋体" w:hAnsi="宋体" w:cs="宋体"/>
          <w:color w:val="000000"/>
          <w:kern w:val="0"/>
          <w:szCs w:val="21"/>
          <w:lang w:bidi="ar"/>
        </w:rPr>
      </w:pPr>
    </w:p>
    <w:p>
      <w:pPr>
        <w:widowControl/>
        <w:jc w:val="left"/>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注：1.“指标编码”不用填写，录入信息系统时自动生成。</w:t>
      </w:r>
    </w:p>
    <w:p>
      <w:pPr>
        <w:widowControl/>
        <w:jc w:val="left"/>
        <w:rPr>
          <w:rFonts w:hint="eastAsia" w:ascii="宋体" w:hAnsi="宋体" w:cs="宋体"/>
          <w:kern w:val="0"/>
          <w:sz w:val="18"/>
          <w:szCs w:val="18"/>
          <w:lang w:bidi="ar"/>
        </w:rPr>
      </w:pPr>
      <w:r>
        <w:rPr>
          <w:rFonts w:hint="eastAsia" w:ascii="宋体" w:hAnsi="宋体" w:cs="宋体"/>
          <w:kern w:val="0"/>
          <w:sz w:val="18"/>
          <w:szCs w:val="18"/>
          <w:lang w:bidi="ar"/>
        </w:rPr>
        <w:t xml:space="preserve">    2.“资金用途”通常指该项资金所具有的专门用途，例如：港口建设。</w:t>
      </w:r>
    </w:p>
    <w:p>
      <w:pPr>
        <w:widowControl/>
        <w:jc w:val="left"/>
        <w:rPr>
          <w:rFonts w:ascii="宋体" w:hAnsi="宋体" w:cs="宋体"/>
          <w:kern w:val="0"/>
          <w:sz w:val="18"/>
          <w:szCs w:val="18"/>
          <w:lang w:bidi="ar"/>
        </w:rPr>
      </w:pPr>
      <w:r>
        <w:rPr>
          <w:rFonts w:hint="eastAsia" w:ascii="宋体" w:hAnsi="宋体" w:cs="宋体"/>
          <w:kern w:val="0"/>
          <w:sz w:val="18"/>
          <w:szCs w:val="18"/>
          <w:lang w:bidi="ar"/>
        </w:rPr>
        <w:t xml:space="preserve">    3.“类别、行业、领域”是指按类别分为一般公共服务、文化旅游体育与传媒、自然资源</w:t>
      </w:r>
      <w:r>
        <w:rPr>
          <w:rFonts w:hint="eastAsia" w:ascii="宋体" w:hAnsi="宋体" w:cs="宋体"/>
          <w:kern w:val="0"/>
          <w:sz w:val="18"/>
          <w:szCs w:val="18"/>
          <w:lang w:eastAsia="zh-CN" w:bidi="ar"/>
        </w:rPr>
        <w:t>海洋气象</w:t>
      </w:r>
      <w:r>
        <w:rPr>
          <w:rFonts w:hint="eastAsia" w:ascii="宋体" w:hAnsi="宋体" w:cs="宋体"/>
          <w:kern w:val="0"/>
          <w:sz w:val="18"/>
          <w:szCs w:val="18"/>
          <w:lang w:bidi="ar"/>
        </w:rPr>
        <w:t>等。例如，文化旅游体育与传媒按行业可分为广播电视、旅游、体育和文化等，文化按领域又可划分为公共文化设施建设与维修、公共文化设施免费开放、非物质文化遗产保护等。</w:t>
      </w:r>
    </w:p>
    <w:p>
      <w:pPr>
        <w:widowControl/>
        <w:jc w:val="left"/>
        <w:rPr>
          <w:rFonts w:hint="eastAsia" w:ascii="宋体" w:hAnsi="宋体" w:cs="宋体"/>
          <w:kern w:val="0"/>
          <w:sz w:val="18"/>
          <w:szCs w:val="18"/>
          <w:lang w:bidi="ar"/>
        </w:rPr>
      </w:pPr>
      <w:r>
        <w:rPr>
          <w:rFonts w:hint="eastAsia" w:ascii="宋体" w:hAnsi="宋体" w:cs="宋体"/>
          <w:kern w:val="0"/>
          <w:sz w:val="18"/>
          <w:szCs w:val="18"/>
          <w:lang w:bidi="ar"/>
        </w:rPr>
        <w:t xml:space="preserve">    4.“一级指标”，项目（政策）一级指标主要分为产出指标、效益指标和满意度指标；部门整体一级指标主要分为履职效能、预算执行、管理效率、运行成本、社会效应和可持续性。</w:t>
      </w:r>
    </w:p>
    <w:p>
      <w:pPr>
        <w:widowControl/>
        <w:jc w:val="left"/>
        <w:rPr>
          <w:rFonts w:hint="eastAsia" w:ascii="宋体" w:hAnsi="宋体" w:cs="宋体"/>
          <w:kern w:val="0"/>
          <w:sz w:val="18"/>
          <w:szCs w:val="18"/>
          <w:lang w:bidi="ar"/>
        </w:rPr>
      </w:pPr>
      <w:r>
        <w:rPr>
          <w:rFonts w:hint="eastAsia" w:ascii="宋体" w:hAnsi="宋体" w:cs="宋体"/>
          <w:kern w:val="0"/>
          <w:sz w:val="18"/>
          <w:szCs w:val="18"/>
          <w:lang w:bidi="ar"/>
        </w:rPr>
        <w:t xml:space="preserve">    5.“二级指标”，项目（政策）二级指标主要包括数量指标、质量指标、时效指标、成本指标、社会效益、经济效益，生态效益、可持续影响和满意度指标等；部门整体二级指标主要包括重点工作履行情况、整体工作完成情况、基础管理、预算执行效率、预算编制管理、预算监督管理、预算收支管理、财务管理、资产管理、业务管理、成本控制成效、政治效益、社会效益、经济效益、生态效益、社会公众或服务对象满意度、体制机制改革、创新驱动发展等。</w:t>
      </w:r>
    </w:p>
    <w:p>
      <w:pPr>
        <w:widowControl/>
        <w:jc w:val="left"/>
        <w:rPr>
          <w:rFonts w:hint="eastAsia" w:ascii="宋体" w:hAnsi="宋体" w:cs="宋体"/>
          <w:kern w:val="0"/>
          <w:sz w:val="18"/>
          <w:szCs w:val="18"/>
          <w:lang w:bidi="ar"/>
        </w:rPr>
      </w:pPr>
      <w:r>
        <w:rPr>
          <w:rFonts w:hint="eastAsia" w:ascii="宋体" w:hAnsi="宋体" w:cs="宋体"/>
          <w:kern w:val="0"/>
          <w:sz w:val="18"/>
          <w:szCs w:val="18"/>
          <w:lang w:bidi="ar"/>
        </w:rPr>
        <w:t xml:space="preserve">    6.“三级指标”是各部门的个性化指标，主要由各部门收录。每个三级指标应尽量细化、量化，可量化的用数值描述，不可量化的以定性描述。</w:t>
      </w:r>
    </w:p>
    <w:p>
      <w:pPr>
        <w:widowControl/>
        <w:jc w:val="left"/>
        <w:rPr>
          <w:rFonts w:hint="eastAsia" w:ascii="宋体" w:hAnsi="宋体" w:cs="宋体"/>
          <w:kern w:val="0"/>
          <w:sz w:val="18"/>
          <w:szCs w:val="18"/>
          <w:lang w:bidi="ar"/>
        </w:rPr>
      </w:pPr>
      <w:r>
        <w:rPr>
          <w:rFonts w:hint="eastAsia" w:ascii="宋体" w:hAnsi="宋体" w:cs="宋体"/>
          <w:kern w:val="0"/>
          <w:sz w:val="18"/>
          <w:szCs w:val="18"/>
          <w:lang w:bidi="ar"/>
        </w:rPr>
        <w:t xml:space="preserve">    7.“指标解择"是指对某项绩效指标定义，口径等内容的解释。</w:t>
      </w:r>
    </w:p>
    <w:p>
      <w:pPr>
        <w:widowControl/>
        <w:jc w:val="left"/>
        <w:rPr>
          <w:rFonts w:hint="eastAsia" w:ascii="宋体" w:hAnsi="宋体" w:cs="宋体"/>
          <w:kern w:val="0"/>
          <w:sz w:val="18"/>
          <w:szCs w:val="18"/>
          <w:lang w:bidi="ar"/>
        </w:rPr>
      </w:pPr>
      <w:r>
        <w:rPr>
          <w:rFonts w:hint="eastAsia" w:ascii="宋体" w:hAnsi="宋体" w:cs="宋体"/>
          <w:kern w:val="0"/>
          <w:sz w:val="18"/>
          <w:szCs w:val="18"/>
          <w:lang w:bidi="ar"/>
        </w:rPr>
        <w:t xml:space="preserve">    8.“指标依据"是指提出某项指标或明确对某项指标进行考核的政策或文件依据。</w:t>
      </w:r>
    </w:p>
    <w:p>
      <w:pPr>
        <w:widowControl/>
        <w:jc w:val="left"/>
        <w:rPr>
          <w:rFonts w:hint="eastAsia" w:ascii="宋体" w:hAnsi="宋体" w:cs="宋体"/>
          <w:kern w:val="0"/>
          <w:sz w:val="18"/>
          <w:szCs w:val="18"/>
          <w:lang w:bidi="ar"/>
        </w:rPr>
      </w:pPr>
      <w:r>
        <w:rPr>
          <w:rFonts w:hint="eastAsia" w:ascii="宋体" w:hAnsi="宋体" w:cs="宋体"/>
          <w:kern w:val="0"/>
          <w:sz w:val="18"/>
          <w:szCs w:val="18"/>
          <w:lang w:bidi="ar"/>
        </w:rPr>
        <w:t xml:space="preserve">    9.“评分标准"是指对某些绩效指标的计分方法或计分公式。</w:t>
      </w:r>
    </w:p>
    <w:p>
      <w:pPr>
        <w:widowControl/>
        <w:jc w:val="left"/>
        <w:rPr>
          <w:rFonts w:hint="eastAsia" w:ascii="宋体" w:hAnsi="宋体" w:cs="宋体"/>
          <w:kern w:val="0"/>
          <w:sz w:val="18"/>
          <w:szCs w:val="18"/>
          <w:lang w:bidi="ar"/>
        </w:rPr>
      </w:pPr>
      <w:r>
        <w:rPr>
          <w:rFonts w:hint="eastAsia" w:ascii="宋体" w:hAnsi="宋体" w:cs="宋体"/>
          <w:kern w:val="0"/>
          <w:sz w:val="18"/>
          <w:szCs w:val="18"/>
          <w:lang w:bidi="ar"/>
        </w:rPr>
        <w:t xml:space="preserve">    10.“运算符号”是指量化“指标值”填报数值时，在“运算符号”栏可根据实际情况选取“=”“≤”“≥”“＜”“＞”等运算符号。</w:t>
      </w:r>
    </w:p>
    <w:p>
      <w:pPr>
        <w:widowControl/>
        <w:jc w:val="left"/>
        <w:rPr>
          <w:rFonts w:ascii="宋体" w:hAnsi="宋体" w:cs="宋体"/>
          <w:kern w:val="0"/>
          <w:sz w:val="18"/>
          <w:szCs w:val="18"/>
          <w:lang w:bidi="ar"/>
        </w:rPr>
      </w:pPr>
      <w:r>
        <w:rPr>
          <w:rFonts w:hint="eastAsia" w:ascii="宋体" w:hAnsi="宋体" w:cs="宋体"/>
          <w:kern w:val="0"/>
          <w:sz w:val="18"/>
          <w:szCs w:val="18"/>
          <w:lang w:bidi="ar"/>
        </w:rPr>
        <w:t xml:space="preserve">    11.“度量单位”是指量化“指标值”填报数值时，在“度量单位”栏填列数据单位。</w:t>
      </w:r>
    </w:p>
    <w:p>
      <w:pPr>
        <w:widowControl/>
        <w:jc w:val="left"/>
        <w:rPr>
          <w:rFonts w:hint="eastAsia" w:ascii="宋体" w:hAnsi="宋体" w:cs="宋体"/>
          <w:kern w:val="0"/>
          <w:sz w:val="18"/>
          <w:szCs w:val="18"/>
          <w:lang w:bidi="ar"/>
        </w:rPr>
      </w:pPr>
      <w:r>
        <w:rPr>
          <w:rFonts w:hint="eastAsia" w:ascii="宋体" w:hAnsi="宋体" w:cs="宋体"/>
          <w:kern w:val="0"/>
          <w:sz w:val="18"/>
          <w:szCs w:val="18"/>
          <w:lang w:bidi="ar"/>
        </w:rPr>
        <w:t xml:space="preserve">    12.“目标值"是指部门编报预算时设置的年度绩效目标值，</w:t>
      </w:r>
      <w:r>
        <w:rPr>
          <w:rFonts w:hint="eastAsia" w:ascii="宋体" w:hAnsi="宋体" w:cs="宋体"/>
          <w:kern w:val="0"/>
          <w:sz w:val="18"/>
          <w:szCs w:val="18"/>
          <w:lang w:eastAsia="zh-CN" w:bidi="ar"/>
        </w:rPr>
        <w:t>中央、省、市</w:t>
      </w:r>
      <w:r>
        <w:rPr>
          <w:rFonts w:hint="eastAsia" w:ascii="宋体" w:hAnsi="宋体" w:cs="宋体"/>
          <w:kern w:val="0"/>
          <w:sz w:val="18"/>
          <w:szCs w:val="18"/>
          <w:lang w:bidi="ar"/>
        </w:rPr>
        <w:t>下达的考核标准或行业标准、技术标准等标准值也可作为目标值。</w:t>
      </w:r>
      <w:bookmarkStart w:id="0" w:name="_GoBack"/>
      <w:bookmarkEnd w:id="0"/>
    </w:p>
    <w:p>
      <w:pPr>
        <w:widowControl/>
        <w:jc w:val="left"/>
        <w:rPr>
          <w:rFonts w:hint="eastAsia" w:ascii="宋体" w:hAnsi="宋体" w:cs="宋体"/>
          <w:kern w:val="0"/>
          <w:sz w:val="18"/>
          <w:szCs w:val="18"/>
          <w:lang w:bidi="ar"/>
        </w:rPr>
      </w:pPr>
      <w:r>
        <w:rPr>
          <w:rFonts w:hint="eastAsia" w:ascii="宋体" w:hAnsi="宋体" w:cs="宋体"/>
          <w:kern w:val="0"/>
          <w:sz w:val="18"/>
          <w:szCs w:val="18"/>
          <w:lang w:bidi="ar"/>
        </w:rPr>
        <w:t xml:space="preserve">    13.“实际值”是指当年通过实施绩效运行监控、绩效评价取得的实际值，或者是说明获取指标实际值的来源,如统计部门公布的数据、部门的统计数据。评价机构现场收集的数据。</w:t>
      </w:r>
    </w:p>
    <w:p>
      <w:pPr>
        <w:widowControl/>
        <w:jc w:val="left"/>
        <w:rPr>
          <w:rFonts w:hint="eastAsia" w:ascii="宋体" w:hAnsi="宋体" w:cs="宋体"/>
          <w:kern w:val="0"/>
          <w:sz w:val="18"/>
          <w:szCs w:val="18"/>
          <w:lang w:bidi="ar"/>
        </w:rPr>
      </w:pPr>
      <w:r>
        <w:rPr>
          <w:rFonts w:hint="eastAsia" w:ascii="宋体" w:hAnsi="宋体" w:cs="宋体"/>
          <w:kern w:val="0"/>
          <w:sz w:val="18"/>
          <w:szCs w:val="18"/>
          <w:lang w:bidi="ar"/>
        </w:rPr>
        <w:t xml:space="preserve">    14.“历史值"是指以往年度通过实施绩效评价取得的评价结果值。</w:t>
      </w:r>
    </w:p>
    <w:p>
      <w:pPr>
        <w:widowControl/>
        <w:jc w:val="left"/>
        <w:rPr>
          <w:rFonts w:hint="eastAsia" w:ascii="宋体" w:hAnsi="宋体" w:cs="宋体"/>
          <w:kern w:val="0"/>
          <w:sz w:val="18"/>
          <w:szCs w:val="18"/>
          <w:lang w:bidi="ar"/>
        </w:rPr>
      </w:pPr>
      <w:r>
        <w:rPr>
          <w:rFonts w:hint="eastAsia" w:ascii="宋体" w:hAnsi="宋体" w:cs="宋体"/>
          <w:kern w:val="0"/>
          <w:sz w:val="18"/>
          <w:szCs w:val="18"/>
          <w:lang w:bidi="ar"/>
        </w:rPr>
        <w:t xml:space="preserve">    15.“指标适用层级”是指市、</w:t>
      </w:r>
      <w:r>
        <w:rPr>
          <w:rFonts w:hint="eastAsia" w:ascii="宋体" w:hAnsi="宋体" w:cs="宋体"/>
          <w:kern w:val="0"/>
          <w:sz w:val="18"/>
          <w:szCs w:val="18"/>
          <w:lang w:eastAsia="zh-CN" w:bidi="ar"/>
        </w:rPr>
        <w:t>县二</w:t>
      </w:r>
      <w:r>
        <w:rPr>
          <w:rFonts w:hint="eastAsia" w:ascii="宋体" w:hAnsi="宋体" w:cs="宋体"/>
          <w:kern w:val="0"/>
          <w:sz w:val="18"/>
          <w:szCs w:val="18"/>
          <w:lang w:bidi="ar"/>
        </w:rPr>
        <w:t>级，可以多选。</w:t>
      </w:r>
    </w:p>
    <w:p>
      <w:pPr>
        <w:widowControl/>
        <w:jc w:val="left"/>
        <w:rPr>
          <w:rFonts w:hint="eastAsia" w:ascii="宋体" w:hAnsi="宋体" w:cs="宋体"/>
          <w:kern w:val="0"/>
          <w:sz w:val="18"/>
          <w:szCs w:val="18"/>
          <w:lang w:bidi="ar"/>
        </w:rPr>
      </w:pPr>
      <w:r>
        <w:rPr>
          <w:rFonts w:hint="eastAsia" w:ascii="宋体" w:hAnsi="宋体" w:cs="宋体"/>
          <w:kern w:val="0"/>
          <w:sz w:val="18"/>
          <w:szCs w:val="18"/>
          <w:lang w:bidi="ar"/>
        </w:rPr>
        <w:t xml:space="preserve">    16.“指标适用类型“分为政策和项目支出、部门整体支出、转移支付整体、转移支付区域、转移支付项目等。</w:t>
      </w:r>
    </w:p>
    <w:p>
      <w:pPr>
        <w:widowControl/>
        <w:jc w:val="left"/>
        <w:rPr>
          <w:rFonts w:hint="eastAsia" w:ascii="宋体" w:hAnsi="宋体" w:cs="宋体"/>
          <w:kern w:val="0"/>
          <w:sz w:val="18"/>
          <w:szCs w:val="18"/>
          <w:lang w:bidi="ar"/>
        </w:rPr>
      </w:pPr>
      <w:r>
        <w:rPr>
          <w:rFonts w:hint="eastAsia" w:ascii="宋体" w:hAnsi="宋体" w:cs="宋体"/>
          <w:kern w:val="0"/>
          <w:sz w:val="18"/>
          <w:szCs w:val="18"/>
          <w:lang w:bidi="ar"/>
        </w:rPr>
        <w:t xml:space="preserve">    17.“指标适用中央专项”是指根据中央专项资金分类，各部门将填报的各项三级指标，根据指标名称判断其归属于信息系统项目分类表中的具体项目名称项，选取并填列其中。</w:t>
      </w:r>
    </w:p>
    <w:p>
      <w:pPr>
        <w:widowControl/>
        <w:jc w:val="left"/>
      </w:pPr>
      <w:r>
        <w:rPr>
          <w:rFonts w:hint="eastAsia" w:ascii="宋体" w:hAnsi="宋体" w:cs="宋体"/>
          <w:kern w:val="0"/>
          <w:sz w:val="18"/>
          <w:szCs w:val="18"/>
          <w:lang w:bidi="ar"/>
        </w:rPr>
        <w:t xml:space="preserve">    18.“指标适用省级专项”是指根据辽宁省省本级项目分类，各部门将填报的各项三级指标，根据指标名称判断其归属于信息系统项目分类表中的具体项目名称项，选取并填列其中。</w:t>
      </w:r>
    </w:p>
    <w:p>
      <w:pPr>
        <w:jc w:val="left"/>
        <w:rPr>
          <w:rFonts w:hint="eastAsia" w:ascii="仿宋_GB2312" w:hAnsi="仿宋_GB2312" w:eastAsia="仿宋_GB2312" w:cs="仿宋_GB2312"/>
          <w:color w:val="000000"/>
          <w:kern w:val="0"/>
          <w:sz w:val="32"/>
          <w:u w:val="none" w:color="000000"/>
        </w:rPr>
      </w:pPr>
    </w:p>
    <w:p/>
    <w:p/>
    <w:sectPr>
      <w:footerReference r:id="rId3" w:type="default"/>
      <w:footerReference r:id="rId4" w:type="even"/>
      <w:pgSz w:w="11906" w:h="16838"/>
      <w:pgMar w:top="1701" w:right="1417" w:bottom="1701" w:left="1417" w:header="851" w:footer="1531"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等线">
    <w:altName w:val="宋体"/>
    <w:panose1 w:val="02010600030101010101"/>
    <w:charset w:val="86"/>
    <w:family w:val="auto"/>
    <w:pitch w:val="default"/>
    <w:sig w:usb0="00000000" w:usb1="00000000" w:usb2="00000016" w:usb3="00000000" w:csb0="0004000F" w:csb1="00000000"/>
  </w:font>
  <w:font w:name="Arial">
    <w:panose1 w:val="020B0604020202020204"/>
    <w:charset w:val="00"/>
    <w:family w:val="swiss"/>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DLF-32769-4-1526233277+ZDAAjP-4">
    <w:altName w:val="黑体"/>
    <w:panose1 w:val="00000000000000000000"/>
    <w:charset w:val="86"/>
    <w:family w:val="auto"/>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firstLine="360"/>
      <w:rPr>
        <w:rFonts w:hint="eastAsia"/>
      </w:rPr>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304800" cy="262890"/>
              <wp:effectExtent l="0" t="0" r="0" b="0"/>
              <wp:wrapNone/>
              <wp:docPr id="3" name="文本框 2050"/>
              <wp:cNvGraphicFramePr/>
              <a:graphic xmlns:a="http://schemas.openxmlformats.org/drawingml/2006/main">
                <a:graphicData uri="http://schemas.microsoft.com/office/word/2010/wordprocessingShape">
                  <wps:wsp>
                    <wps:cNvSpPr txBox="1"/>
                    <wps:spPr>
                      <a:xfrm>
                        <a:off x="0" y="0"/>
                        <a:ext cx="304800" cy="262890"/>
                      </a:xfrm>
                      <a:prstGeom prst="rect">
                        <a:avLst/>
                      </a:prstGeom>
                      <a:noFill/>
                      <a:ln w="9525">
                        <a:noFill/>
                      </a:ln>
                    </wps:spPr>
                    <wps:txbx>
                      <w:txbxContent>
                        <w:p>
                          <w:pPr>
                            <w:pStyle w:val="3"/>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128</w:t>
                          </w:r>
                          <w:r>
                            <w:rPr>
                              <w:rFonts w:hint="eastAsia"/>
                            </w:rPr>
                            <w:fldChar w:fldCharType="end"/>
                          </w:r>
                        </w:p>
                      </w:txbxContent>
                    </wps:txbx>
                    <wps:bodyPr wrap="none" lIns="0" tIns="0" rIns="0" bIns="0" upright="0">
                      <a:spAutoFit/>
                    </wps:bodyPr>
                  </wps:wsp>
                </a:graphicData>
              </a:graphic>
            </wp:anchor>
          </w:drawing>
        </mc:Choice>
        <mc:Fallback>
          <w:pict>
            <v:shape id="文本框 2050" o:spid="_x0000_s1026" o:spt="202" type="#_x0000_t202" style="position:absolute;left:0pt;margin-top:0pt;height:20.7pt;width:24pt;mso-position-horizontal:center;mso-position-horizontal-relative:margin;mso-wrap-style:none;z-index:251658240;mso-width-relative:page;mso-height-relative:page;" filled="f" stroked="f" coordsize="21600,21600" o:gfxdata="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e/Zcj0AAAAAMBAAAPAAAAAAAAAAEAIAAAACIAAABkcnMvZG93bnJldi54bWxQSwECFAAUAAAA&#10;CACHTuJAPkcSob0BAABVAwAADgAAAAAAAAABACAAAAAfAQAAZHJzL2Uyb0RvYy54bWxQSwUGAAAA&#10;AAYABgBZAQAATgUAAAAA&#10;">
              <v:fill on="f" focussize="0,0"/>
              <v:stroke on="f"/>
              <v:imagedata o:title=""/>
              <o:lock v:ext="edit" aspectratio="f"/>
              <v:textbox inset="0mm,0mm,0mm,0mm" style="mso-fit-shape-to-text:t;">
                <w:txbxContent>
                  <w:p>
                    <w:pPr>
                      <w:pStyle w:val="3"/>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128</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7"/>
        <w:rFonts w:hint="eastAsia" w:ascii="仿宋_GB2312" w:eastAsia="仿宋_GB2312"/>
        <w:sz w:val="28"/>
        <w:szCs w:val="28"/>
      </w:rPr>
    </w:pPr>
    <w:r>
      <w:rPr>
        <w:rFonts w:hint="eastAsia" w:ascii="仿宋_GB2312" w:eastAsia="仿宋_GB2312"/>
        <w:sz w:val="28"/>
        <w:szCs w:val="28"/>
      </w:rPr>
      <w:fldChar w:fldCharType="begin"/>
    </w:r>
    <w:r>
      <w:rPr>
        <w:rStyle w:val="7"/>
        <w:rFonts w:hint="eastAsia" w:ascii="仿宋_GB2312" w:eastAsia="仿宋_GB2312"/>
        <w:sz w:val="28"/>
        <w:szCs w:val="28"/>
      </w:rPr>
      <w:instrText xml:space="preserve">PAGE  </w:instrText>
    </w:r>
    <w:r>
      <w:rPr>
        <w:rFonts w:hint="eastAsia" w:ascii="仿宋_GB2312" w:eastAsia="仿宋_GB2312"/>
        <w:sz w:val="28"/>
        <w:szCs w:val="28"/>
      </w:rPr>
      <w:fldChar w:fldCharType="separate"/>
    </w:r>
    <w:r>
      <w:rPr>
        <w:rStyle w:val="7"/>
        <w:rFonts w:ascii="仿宋_GB2312" w:eastAsia="仿宋_GB2312"/>
        <w:sz w:val="28"/>
        <w:szCs w:val="28"/>
      </w:rPr>
      <w:t>- 2 -</w:t>
    </w:r>
    <w:r>
      <w:rPr>
        <w:rFonts w:hint="eastAsia" w:ascii="仿宋_GB2312" w:eastAsia="仿宋_GB2312"/>
        <w:sz w:val="28"/>
        <w:szCs w:val="28"/>
      </w:rPr>
      <w:fldChar w:fldCharType="end"/>
    </w:r>
  </w:p>
  <w:p>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426ED3"/>
    <w:rsid w:val="02E57846"/>
    <w:rsid w:val="04844826"/>
    <w:rsid w:val="059C426F"/>
    <w:rsid w:val="067151DA"/>
    <w:rsid w:val="080F125C"/>
    <w:rsid w:val="0816417A"/>
    <w:rsid w:val="0841044B"/>
    <w:rsid w:val="094E19D4"/>
    <w:rsid w:val="09FC54A3"/>
    <w:rsid w:val="0A0E42BF"/>
    <w:rsid w:val="0AFB51A7"/>
    <w:rsid w:val="0B406142"/>
    <w:rsid w:val="0BED2E99"/>
    <w:rsid w:val="0C532BD8"/>
    <w:rsid w:val="0C710019"/>
    <w:rsid w:val="0DAC5E02"/>
    <w:rsid w:val="0F2D0C47"/>
    <w:rsid w:val="10526DA3"/>
    <w:rsid w:val="10D30091"/>
    <w:rsid w:val="11FD1630"/>
    <w:rsid w:val="12953EA4"/>
    <w:rsid w:val="13083660"/>
    <w:rsid w:val="133C2A01"/>
    <w:rsid w:val="14311092"/>
    <w:rsid w:val="150114E2"/>
    <w:rsid w:val="151148CA"/>
    <w:rsid w:val="16523BF7"/>
    <w:rsid w:val="16B91A73"/>
    <w:rsid w:val="185F2F18"/>
    <w:rsid w:val="19045C78"/>
    <w:rsid w:val="199E24BD"/>
    <w:rsid w:val="19FA6D20"/>
    <w:rsid w:val="1FED2F67"/>
    <w:rsid w:val="1FF50A56"/>
    <w:rsid w:val="218479F0"/>
    <w:rsid w:val="22311527"/>
    <w:rsid w:val="24B00C74"/>
    <w:rsid w:val="25974B10"/>
    <w:rsid w:val="272D2596"/>
    <w:rsid w:val="28D22C5C"/>
    <w:rsid w:val="294D387B"/>
    <w:rsid w:val="2B365EC3"/>
    <w:rsid w:val="2CCB53EB"/>
    <w:rsid w:val="301A6D40"/>
    <w:rsid w:val="33560992"/>
    <w:rsid w:val="35681925"/>
    <w:rsid w:val="357739C4"/>
    <w:rsid w:val="36704868"/>
    <w:rsid w:val="36935ECF"/>
    <w:rsid w:val="37404249"/>
    <w:rsid w:val="375F3EE7"/>
    <w:rsid w:val="394363FC"/>
    <w:rsid w:val="3C382DE6"/>
    <w:rsid w:val="3CAD12C6"/>
    <w:rsid w:val="3E28080E"/>
    <w:rsid w:val="3E590201"/>
    <w:rsid w:val="404375B6"/>
    <w:rsid w:val="41D16C58"/>
    <w:rsid w:val="423F3CA9"/>
    <w:rsid w:val="42850F4F"/>
    <w:rsid w:val="43B953D2"/>
    <w:rsid w:val="43C12DD7"/>
    <w:rsid w:val="44D434B7"/>
    <w:rsid w:val="46D90B28"/>
    <w:rsid w:val="49476CFA"/>
    <w:rsid w:val="4A0B1B40"/>
    <w:rsid w:val="4A426ED3"/>
    <w:rsid w:val="4A9F54D8"/>
    <w:rsid w:val="4CCB6384"/>
    <w:rsid w:val="4CEB4487"/>
    <w:rsid w:val="4FE508CC"/>
    <w:rsid w:val="54470326"/>
    <w:rsid w:val="552A1EFA"/>
    <w:rsid w:val="558465AB"/>
    <w:rsid w:val="561F717D"/>
    <w:rsid w:val="56E111B1"/>
    <w:rsid w:val="57A03E87"/>
    <w:rsid w:val="5C8060A7"/>
    <w:rsid w:val="602F1040"/>
    <w:rsid w:val="60407EC4"/>
    <w:rsid w:val="625C25DB"/>
    <w:rsid w:val="63F46D43"/>
    <w:rsid w:val="645827AC"/>
    <w:rsid w:val="65EF0F47"/>
    <w:rsid w:val="67204712"/>
    <w:rsid w:val="67523F12"/>
    <w:rsid w:val="684F5A3F"/>
    <w:rsid w:val="68F41E5D"/>
    <w:rsid w:val="6AB247AA"/>
    <w:rsid w:val="6BCA0B4B"/>
    <w:rsid w:val="6BFE5FB8"/>
    <w:rsid w:val="6C6543AD"/>
    <w:rsid w:val="6CD50D04"/>
    <w:rsid w:val="6DC77C15"/>
    <w:rsid w:val="6F533A01"/>
    <w:rsid w:val="7182008E"/>
    <w:rsid w:val="72071C3E"/>
    <w:rsid w:val="74851647"/>
    <w:rsid w:val="75280868"/>
    <w:rsid w:val="75503430"/>
    <w:rsid w:val="76204532"/>
    <w:rsid w:val="78FD759A"/>
    <w:rsid w:val="7A01498B"/>
    <w:rsid w:val="7A6578F7"/>
    <w:rsid w:val="7A7C58C5"/>
    <w:rsid w:val="7BAA5DD4"/>
    <w:rsid w:val="7DEA5195"/>
    <w:rsid w:val="7E0C157B"/>
    <w:rsid w:val="7E6A5C92"/>
    <w:rsid w:val="7F18635B"/>
    <w:rsid w:val="7F5011B1"/>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4"/>
      <w:lang w:val="en-US" w:eastAsia="zh-CN" w:bidi="ar-SA"/>
    </w:rPr>
  </w:style>
  <w:style w:type="character" w:default="1" w:styleId="5">
    <w:name w:val="Default Paragraph Font"/>
    <w:semiHidden/>
    <w:qFormat/>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2">
    <w:name w:val="Body Text Indent"/>
    <w:basedOn w:val="1"/>
    <w:qFormat/>
    <w:uiPriority w:val="0"/>
    <w:pPr>
      <w:ind w:firstLine="645"/>
    </w:pPr>
    <w:rPr>
      <w:rFonts w:ascii="仿宋_GB2312" w:eastAsia="仿宋_GB2312"/>
      <w:kern w:val="2"/>
      <w:sz w:val="32"/>
      <w:szCs w:val="32"/>
      <w:lang w:val="en-US" w:eastAsia="zh-CN" w:bidi="ar-SA"/>
    </w:rPr>
  </w:style>
  <w:style w:type="paragraph" w:styleId="3">
    <w:name w:val="footer"/>
    <w:basedOn w:val="1"/>
    <w:qFormat/>
    <w:uiPriority w:val="0"/>
    <w:pPr>
      <w:tabs>
        <w:tab w:val="center" w:pos="4153"/>
        <w:tab w:val="right" w:pos="8306"/>
      </w:tabs>
      <w:snapToGrid w:val="0"/>
      <w:jc w:val="left"/>
    </w:pPr>
    <w:rPr>
      <w:rFonts w:eastAsia="宋体"/>
      <w:kern w:val="2"/>
      <w:sz w:val="18"/>
      <w:lang w:val="en-US" w:eastAsia="zh-CN" w:bidi="ar-SA"/>
    </w:rPr>
  </w:style>
  <w:style w:type="paragraph" w:styleId="4">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character" w:styleId="6">
    <w:name w:val="Strong"/>
    <w:basedOn w:val="5"/>
    <w:qFormat/>
    <w:uiPriority w:val="0"/>
    <w:rPr>
      <w:b/>
      <w:bCs/>
    </w:rPr>
  </w:style>
  <w:style w:type="character" w:styleId="7">
    <w:name w:val="page number"/>
    <w:basedOn w:val="5"/>
    <w:qFormat/>
    <w:uiPriority w:val="0"/>
  </w:style>
  <w:style w:type="character" w:styleId="8">
    <w:name w:val="annotation reference"/>
    <w:basedOn w:val="5"/>
    <w:qFormat/>
    <w:uiPriority w:val="0"/>
    <w:rPr>
      <w:sz w:val="21"/>
      <w:szCs w:val="21"/>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 w:type="paragraph" w:customStyle="1" w:styleId="11">
    <w:name w:val="正文 New New New New"/>
    <w:qFormat/>
    <w:uiPriority w:val="0"/>
    <w:pPr>
      <w:widowControl w:val="0"/>
      <w:jc w:val="both"/>
    </w:pPr>
    <w:rPr>
      <w:rFonts w:cs="黑体" w:asciiTheme="minorHAnsi" w:hAnsiTheme="minorHAnsi" w:eastAsiaTheme="minorEastAsia"/>
      <w:kern w:val="2"/>
      <w:sz w:val="21"/>
      <w:szCs w:val="22"/>
      <w:lang w:val="en-US" w:eastAsia="zh-CN" w:bidi="ar-SA"/>
    </w:rPr>
  </w:style>
  <w:style w:type="paragraph" w:customStyle="1" w:styleId="12">
    <w:name w:val="正文 New New New"/>
    <w:qFormat/>
    <w:uiPriority w:val="0"/>
    <w:pPr>
      <w:wordWrap w:val="0"/>
      <w:snapToGrid w:val="0"/>
      <w:spacing w:line="580" w:lineRule="atLeast"/>
      <w:ind w:firstLine="640"/>
      <w:jc w:val="both"/>
    </w:pPr>
    <w:rPr>
      <w:rFonts w:ascii="仿宋_GB2312" w:hAnsi="Arial" w:eastAsia="仿宋_GB2312" w:cs="Arial"/>
      <w:sz w:val="28"/>
      <w:szCs w:val="28"/>
      <w:lang w:val="en-US" w:eastAsia="zh-CN" w:bidi="ar-SA"/>
    </w:rPr>
  </w:style>
  <w:style w:type="character" w:customStyle="1" w:styleId="13">
    <w:name w:val="font61"/>
    <w:basedOn w:val="5"/>
    <w:qFormat/>
    <w:uiPriority w:val="0"/>
    <w:rPr>
      <w:rFonts w:hint="eastAsia" w:ascii="宋体" w:hAnsi="宋体" w:eastAsia="宋体" w:cs="宋体"/>
      <w:color w:val="000000"/>
      <w:sz w:val="14"/>
      <w:szCs w:val="14"/>
      <w:u w:val="none"/>
    </w:rPr>
  </w:style>
  <w:style w:type="character" w:customStyle="1" w:styleId="14">
    <w:name w:val="font111"/>
    <w:basedOn w:val="5"/>
    <w:qFormat/>
    <w:uiPriority w:val="0"/>
    <w:rPr>
      <w:rFonts w:hint="eastAsia" w:ascii="宋体" w:hAnsi="宋体" w:eastAsia="宋体" w:cs="宋体"/>
      <w:color w:val="000000"/>
      <w:sz w:val="32"/>
      <w:szCs w:val="32"/>
      <w:u w:val="none"/>
    </w:rPr>
  </w:style>
  <w:style w:type="character" w:customStyle="1" w:styleId="15">
    <w:name w:val="font121"/>
    <w:basedOn w:val="5"/>
    <w:qFormat/>
    <w:uiPriority w:val="0"/>
    <w:rPr>
      <w:rFonts w:hint="eastAsia" w:ascii="宋体" w:hAnsi="宋体" w:eastAsia="宋体" w:cs="宋体"/>
      <w:color w:val="000000"/>
      <w:sz w:val="24"/>
      <w:szCs w:val="24"/>
      <w:u w:val="none"/>
    </w:rPr>
  </w:style>
  <w:style w:type="character" w:customStyle="1" w:styleId="16">
    <w:name w:val="font11"/>
    <w:basedOn w:val="5"/>
    <w:qFormat/>
    <w:uiPriority w:val="0"/>
    <w:rPr>
      <w:rFonts w:hint="eastAsia" w:ascii="宋体" w:hAnsi="宋体" w:eastAsia="宋体" w:cs="宋体"/>
      <w:b/>
      <w:color w:val="000000"/>
      <w:sz w:val="32"/>
      <w:szCs w:val="32"/>
      <w:u w:val="none"/>
    </w:rPr>
  </w:style>
  <w:style w:type="character" w:customStyle="1" w:styleId="17">
    <w:name w:val="font31"/>
    <w:basedOn w:val="5"/>
    <w:qFormat/>
    <w:uiPriority w:val="0"/>
    <w:rPr>
      <w:rFonts w:hint="eastAsia" w:ascii="宋体" w:hAnsi="宋体" w:eastAsia="宋体" w:cs="宋体"/>
      <w:color w:val="000000"/>
      <w:sz w:val="32"/>
      <w:szCs w:val="3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Office_10.8.0.5838_F1E327BC-269C-435d-A152-05C5408002CA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2019-10-12T02:43:00Z</dcterms:created>
  <dc:creator>绩效管理处-赵焱</dc:creator>
  <cp:lastModifiedBy>绩效管理科-王栋</cp:lastModifiedBy>
  <dcterms:modified xsi:type="dcterms:W3CDTF">2020-06-04T01:41:46Z</dcterms:modified>
  <dc:title>辽宁省财政厅文件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2052-10.8.0.5838</vt:lpwstr>
  </property>
</Properties>
</file>