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附件1</w:t>
      </w:r>
    </w:p>
    <w:p>
      <w:pPr>
        <w:widowControl/>
        <w:spacing w:line="560" w:lineRule="exact"/>
        <w:rPr>
          <w:rFonts w:hint="default" w:ascii="Times New Roman" w:hAnsi="Times New Roman" w:eastAsia="仿宋_GB2312" w:cs="Times New Roman"/>
          <w:color w:val="000000"/>
          <w:kern w:val="0"/>
          <w:sz w:val="32"/>
          <w:szCs w:val="32"/>
        </w:rPr>
      </w:pPr>
    </w:p>
    <w:p>
      <w:pPr>
        <w:widowControl/>
        <w:spacing w:line="560" w:lineRule="exact"/>
        <w:jc w:val="center"/>
        <w:rPr>
          <w:rFonts w:hint="default" w:ascii="Times New Roman" w:hAnsi="Times New Roman" w:cs="Times New Roman"/>
          <w:b/>
          <w:color w:val="000000"/>
          <w:kern w:val="0"/>
          <w:sz w:val="44"/>
          <w:szCs w:val="44"/>
        </w:rPr>
      </w:pPr>
      <w:r>
        <w:rPr>
          <w:rFonts w:hint="default" w:ascii="Times New Roman" w:hAnsi="Times New Roman" w:cs="Times New Roman"/>
          <w:b/>
          <w:color w:val="000000"/>
          <w:kern w:val="0"/>
          <w:sz w:val="44"/>
          <w:szCs w:val="44"/>
        </w:rPr>
        <w:t>事前绩效评估管理相关材料</w:t>
      </w:r>
    </w:p>
    <w:p>
      <w:pPr>
        <w:widowControl/>
        <w:spacing w:line="560" w:lineRule="exact"/>
        <w:rPr>
          <w:rFonts w:hint="default" w:ascii="Times New Roman" w:hAnsi="Times New Roman" w:eastAsia="仿宋_GB2312" w:cs="Times New Roman"/>
          <w:color w:val="000000"/>
          <w:kern w:val="0"/>
          <w:sz w:val="32"/>
          <w:szCs w:val="32"/>
        </w:rPr>
      </w:pPr>
    </w:p>
    <w:p>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1-1.事前绩效评估管理相关说明</w:t>
      </w:r>
    </w:p>
    <w:p>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1-2.事前绩效评估资料准备清单</w:t>
      </w:r>
    </w:p>
    <w:p>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1-3.事前绩效评估报告（参考提纲）</w:t>
      </w: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adjustRightInd w:val="0"/>
        <w:snapToGrid w:val="0"/>
        <w:spacing w:line="560" w:lineRule="exact"/>
        <w:ind w:firstLine="960" w:firstLineChars="300"/>
        <w:outlineLvl w:val="1"/>
        <w:rPr>
          <w:rFonts w:hint="eastAsia" w:ascii="仿宋_GB2312" w:eastAsia="仿宋_GB2312"/>
          <w:bCs/>
          <w:sz w:val="32"/>
          <w:szCs w:val="32"/>
        </w:rPr>
      </w:pPr>
    </w:p>
    <w:p>
      <w:pPr>
        <w:spacing w:line="560" w:lineRule="exact"/>
        <w:outlineLvl w:val="2"/>
        <w:rPr>
          <w:rFonts w:hint="eastAsia" w:ascii="黑体" w:hAnsi="黑体" w:eastAsia="黑体" w:cs="黑体"/>
          <w:color w:val="000000"/>
          <w:sz w:val="32"/>
          <w:szCs w:val="32"/>
        </w:rPr>
      </w:pPr>
      <w:r>
        <w:rPr>
          <w:rFonts w:hint="eastAsia" w:ascii="黑体" w:hAnsi="黑体" w:eastAsia="黑体" w:cs="黑体"/>
          <w:color w:val="000000"/>
          <w:sz w:val="32"/>
          <w:szCs w:val="32"/>
        </w:rPr>
        <w:t>附件1-1</w:t>
      </w:r>
    </w:p>
    <w:p>
      <w:pPr>
        <w:spacing w:line="560" w:lineRule="exact"/>
        <w:rPr>
          <w:rFonts w:hint="default" w:ascii="Times New Roman" w:hAnsi="Times New Roman" w:eastAsia="黑体" w:cs="Times New Roman"/>
          <w:color w:val="000000"/>
          <w:sz w:val="32"/>
          <w:szCs w:val="32"/>
        </w:rPr>
      </w:pPr>
    </w:p>
    <w:p>
      <w:pPr>
        <w:spacing w:line="560" w:lineRule="exact"/>
        <w:jc w:val="center"/>
        <w:rPr>
          <w:rFonts w:hint="default" w:ascii="Times New Roman" w:hAnsi="Times New Roman" w:cs="Times New Roman"/>
          <w:b/>
          <w:bCs/>
          <w:color w:val="000000"/>
          <w:sz w:val="44"/>
          <w:szCs w:val="44"/>
        </w:rPr>
      </w:pPr>
      <w:r>
        <w:rPr>
          <w:rFonts w:hint="default" w:ascii="Times New Roman" w:hAnsi="Times New Roman" w:cs="Times New Roman"/>
          <w:b/>
          <w:bCs/>
          <w:color w:val="000000"/>
          <w:w w:val="99"/>
          <w:sz w:val="44"/>
          <w:szCs w:val="44"/>
        </w:rPr>
        <w:t>事前绩效评估管理相关说明</w:t>
      </w:r>
    </w:p>
    <w:p>
      <w:pPr>
        <w:pStyle w:val="2"/>
        <w:spacing w:line="560" w:lineRule="exact"/>
        <w:ind w:firstLine="560"/>
        <w:rPr>
          <w:rFonts w:hint="default" w:ascii="Times New Roman" w:hAnsi="Times New Roman" w:eastAsia="黑体" w:cs="Times New Roman"/>
          <w:bCs/>
          <w:color w:val="000000"/>
        </w:rPr>
      </w:pPr>
    </w:p>
    <w:p>
      <w:pPr>
        <w:pStyle w:val="2"/>
        <w:spacing w:line="560" w:lineRule="exact"/>
        <w:ind w:firstLine="560"/>
        <w:rPr>
          <w:rFonts w:hint="default" w:ascii="Times New Roman" w:hAnsi="Times New Roman" w:eastAsia="黑体" w:cs="Times New Roman"/>
          <w:bCs/>
          <w:color w:val="000000"/>
        </w:rPr>
      </w:pPr>
      <w:r>
        <w:rPr>
          <w:rFonts w:hint="default" w:ascii="Times New Roman" w:hAnsi="Times New Roman" w:eastAsia="黑体" w:cs="Times New Roman"/>
          <w:bCs/>
          <w:color w:val="000000"/>
        </w:rPr>
        <w:t>一、事前绩效评估主要内容</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1.实施的必要性。主要评估项目立项依据是否充分，内容与国家</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省</w:t>
      </w:r>
      <w:r>
        <w:rPr>
          <w:rFonts w:hint="eastAsia" w:ascii="仿宋" w:hAnsi="仿宋" w:eastAsia="仿宋" w:cs="仿宋"/>
          <w:color w:val="000000"/>
          <w:sz w:val="32"/>
          <w:szCs w:val="32"/>
          <w:lang w:eastAsia="zh-CN"/>
        </w:rPr>
        <w:t>、市</w:t>
      </w:r>
      <w:r>
        <w:rPr>
          <w:rFonts w:hint="eastAsia" w:ascii="仿宋" w:hAnsi="仿宋" w:eastAsia="仿宋" w:cs="仿宋"/>
          <w:color w:val="000000"/>
          <w:sz w:val="32"/>
          <w:szCs w:val="32"/>
        </w:rPr>
        <w:t>宏观政策、行业政策、主管部门职能和规划、当年重点工作是否相关；是否具有现实需求、需求是否迫切，是否有可替代性，是否有确定的服务对象或受益对象；是否有明显的经济、社会、生态或可持续性效益；项目效益是否能够满足社会绝大多数人的公共利益。</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实施的可行性。主要评估项目组织机构是否健全，职责分工是否明确，组织管理机构是否能够可持续运转；项目内容是否明确具体，是否与绩效目标相匹配；技术方案是否完整、先进、可行，有关的基础设施条件是否能够得以有效保障；各项业务和财务管理制度是否健全；针对财政资金支持方式可能存在的风险，是否有相应的保障措施。</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3.预算的合理性。主要评估财政资金投入的预算决策是否规范、合理，财政资金支持方式和承受能力是否科学合理；预算是否与绩效目标、项目内容相匹配，预算编制是否符合相关规定，编制依据是否充分。其中，民生类政策要与经济社会发展水平和财政承受能力相适应，不得设定过高民生标准和擅自扩大保障范围。</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4.预期绩效的可实现性和可持续性。主要评估项目是否有明确的绩效目标，绩效目标是否与部门的长期规划目标、年度工作目标相一致，项目的产出和效果是否相关联，受益群体的定位是否准确，绩效目标与要解决的问题以及现实需求是否匹配，是否具有一定的前瞻性和挑战性；绩效指标设置是否与项目高度相关，是否细化、量化。</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5.投入的经济性。主要评估财政预算资金投入及资源配置是否高效、经济，投入产出比是否合理；项目实施单位是否有类似项目得到财政资金重复支持；项目分年度财政资金投入是否与分年度实际支出需求金额相匹配；项目立项报告或实施方案中的重要经济评价指标与预期目标是否一致；基金类财政资金投入是否能达到预期的杠杆效应。</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6.筹资的合规性。主要评估项目是否具有公共性，是否属于公共财政支持范围；项目资金来源渠道是否明确，各渠道资金到位时间、条件是否能够落实。</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7.其他需评估的内容。主要评估项目实施单位对项目筹资及执行过程中的潜在风险认识是否全面并设定相应的应对措施等。</w:t>
      </w:r>
    </w:p>
    <w:p>
      <w:pPr>
        <w:pStyle w:val="2"/>
        <w:spacing w:line="560" w:lineRule="exact"/>
        <w:ind w:firstLine="640" w:firstLineChars="200"/>
        <w:rPr>
          <w:rFonts w:hint="default" w:ascii="Times New Roman" w:hAnsi="Times New Roman" w:eastAsia="黑体" w:cs="Times New Roman"/>
          <w:bCs/>
          <w:color w:val="000000"/>
        </w:rPr>
      </w:pPr>
      <w:r>
        <w:rPr>
          <w:rFonts w:hint="default" w:ascii="Times New Roman" w:hAnsi="Times New Roman" w:eastAsia="黑体" w:cs="Times New Roman"/>
          <w:bCs/>
          <w:color w:val="000000"/>
        </w:rPr>
        <w:t>二、事前绩效评估的方式方法</w:t>
      </w:r>
    </w:p>
    <w:p>
      <w:pPr>
        <w:pStyle w:val="4"/>
        <w:spacing w:before="0" w:beforeAutospacing="0" w:after="0" w:afterAutospacing="0" w:line="560" w:lineRule="exact"/>
        <w:ind w:firstLine="630" w:firstLineChars="196"/>
        <w:jc w:val="both"/>
        <w:rPr>
          <w:rFonts w:hint="default" w:ascii="Times New Roman" w:hAnsi="Times New Roman" w:eastAsia="楷体_GB2312" w:cs="Times New Roman"/>
          <w:b/>
          <w:kern w:val="2"/>
          <w:sz w:val="32"/>
          <w:szCs w:val="32"/>
        </w:rPr>
      </w:pPr>
      <w:r>
        <w:rPr>
          <w:rFonts w:hint="default" w:ascii="Times New Roman" w:hAnsi="Times New Roman" w:eastAsia="楷体_GB2312" w:cs="Times New Roman"/>
          <w:b/>
          <w:kern w:val="2"/>
          <w:sz w:val="32"/>
          <w:szCs w:val="32"/>
        </w:rPr>
        <w:t>（一）事前评估的方式。</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bCs/>
          <w:color w:val="000000"/>
          <w:sz w:val="32"/>
          <w:szCs w:val="32"/>
        </w:rPr>
        <w:t>1.网络调查。</w:t>
      </w:r>
      <w:r>
        <w:rPr>
          <w:rFonts w:hint="eastAsia" w:ascii="仿宋" w:hAnsi="仿宋" w:eastAsia="仿宋" w:cs="仿宋"/>
          <w:color w:val="000000"/>
          <w:sz w:val="32"/>
          <w:szCs w:val="32"/>
        </w:rPr>
        <w:t>是指通过互联网及相关媒体开展调查，向评估对象利益相关方了解情况或征询意见。</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bCs/>
          <w:color w:val="000000"/>
          <w:sz w:val="32"/>
          <w:szCs w:val="32"/>
        </w:rPr>
        <w:t>2.电话咨询。</w:t>
      </w:r>
      <w:r>
        <w:rPr>
          <w:rFonts w:hint="eastAsia" w:ascii="仿宋" w:hAnsi="仿宋" w:eastAsia="仿宋" w:cs="仿宋"/>
          <w:color w:val="000000"/>
          <w:sz w:val="32"/>
          <w:szCs w:val="32"/>
        </w:rPr>
        <w:t>是指通过电话对专业人士、评估对象及其他相关方进行咨询。</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bCs/>
          <w:color w:val="000000"/>
          <w:sz w:val="32"/>
          <w:szCs w:val="32"/>
        </w:rPr>
        <w:t>3.召开座谈会。</w:t>
      </w:r>
      <w:r>
        <w:rPr>
          <w:rFonts w:hint="eastAsia" w:ascii="仿宋" w:hAnsi="仿宋" w:eastAsia="仿宋" w:cs="仿宋"/>
          <w:color w:val="000000"/>
          <w:sz w:val="32"/>
          <w:szCs w:val="32"/>
        </w:rPr>
        <w:t>是指组织特定人员或专家座谈，对评估项目集中发表意见和建议。</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bCs/>
          <w:color w:val="000000"/>
          <w:sz w:val="32"/>
          <w:szCs w:val="32"/>
        </w:rPr>
        <w:t>4.问卷调查。</w:t>
      </w:r>
      <w:r>
        <w:rPr>
          <w:rFonts w:hint="eastAsia" w:ascii="仿宋" w:hAnsi="仿宋" w:eastAsia="仿宋" w:cs="仿宋"/>
          <w:color w:val="000000"/>
          <w:sz w:val="32"/>
          <w:szCs w:val="32"/>
        </w:rPr>
        <w:t>是指调查者运用统一设计的问卷向评估对象等利益相关方了解情况或征询意见。</w:t>
      </w:r>
    </w:p>
    <w:p>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bCs/>
          <w:color w:val="000000"/>
          <w:sz w:val="32"/>
          <w:szCs w:val="32"/>
        </w:rPr>
        <w:t>5.邀请人大代表和政协委员、社会公众参与。</w:t>
      </w:r>
      <w:r>
        <w:rPr>
          <w:rFonts w:hint="eastAsia" w:ascii="仿宋" w:hAnsi="仿宋" w:eastAsia="仿宋" w:cs="仿宋"/>
          <w:color w:val="000000"/>
          <w:sz w:val="32"/>
          <w:szCs w:val="32"/>
        </w:rPr>
        <w:t>是指根据工作需要，邀请人大代表和政协委员、社会公众参与事前评估工作，人大代表和政协委员可分别从预算监督和民主监督的角度提出意见和建议，社会公众可从政策和项目</w:t>
      </w:r>
      <w:r>
        <w:rPr>
          <w:rFonts w:hint="eastAsia" w:ascii="仿宋" w:hAnsi="仿宋" w:eastAsia="仿宋" w:cs="仿宋"/>
          <w:color w:val="000000"/>
          <w:sz w:val="32"/>
          <w:szCs w:val="32"/>
          <w:lang w:eastAsia="zh-CN"/>
        </w:rPr>
        <w:t>受</w:t>
      </w:r>
      <w:r>
        <w:rPr>
          <w:rFonts w:hint="eastAsia" w:ascii="仿宋" w:hAnsi="仿宋" w:eastAsia="仿宋" w:cs="仿宋"/>
          <w:color w:val="000000"/>
          <w:sz w:val="32"/>
          <w:szCs w:val="32"/>
        </w:rPr>
        <w:t>益群体的角度提出意见和建议。</w:t>
      </w:r>
    </w:p>
    <w:p>
      <w:pPr>
        <w:pStyle w:val="4"/>
        <w:spacing w:before="0" w:beforeAutospacing="0" w:after="0" w:afterAutospacing="0" w:line="560" w:lineRule="exact"/>
        <w:ind w:firstLine="643" w:firstLineChars="200"/>
        <w:jc w:val="both"/>
        <w:rPr>
          <w:rFonts w:hint="default" w:ascii="Times New Roman" w:hAnsi="Times New Roman" w:eastAsia="楷体_GB2312" w:cs="Times New Roman"/>
          <w:b/>
          <w:kern w:val="2"/>
          <w:sz w:val="32"/>
          <w:szCs w:val="32"/>
        </w:rPr>
      </w:pPr>
      <w:r>
        <w:rPr>
          <w:rFonts w:hint="default" w:ascii="Times New Roman" w:hAnsi="Times New Roman" w:eastAsia="楷体_GB2312" w:cs="Times New Roman"/>
          <w:b/>
          <w:kern w:val="2"/>
          <w:sz w:val="32"/>
          <w:szCs w:val="32"/>
        </w:rPr>
        <w:t>（二）事前评估方法。</w:t>
      </w:r>
    </w:p>
    <w:p>
      <w:pPr>
        <w:spacing w:line="560" w:lineRule="exact"/>
        <w:ind w:firstLine="650" w:firstLineChars="203"/>
        <w:rPr>
          <w:rFonts w:hint="eastAsia" w:ascii="仿宋" w:hAnsi="仿宋" w:eastAsia="仿宋" w:cs="仿宋"/>
          <w:color w:val="000000"/>
          <w:kern w:val="0"/>
          <w:sz w:val="32"/>
          <w:szCs w:val="32"/>
        </w:rPr>
      </w:pPr>
      <w:r>
        <w:rPr>
          <w:rFonts w:hint="eastAsia" w:ascii="仿宋" w:hAnsi="仿宋" w:eastAsia="仿宋" w:cs="仿宋"/>
          <w:bCs/>
          <w:color w:val="000000"/>
          <w:kern w:val="0"/>
          <w:sz w:val="32"/>
          <w:szCs w:val="32"/>
        </w:rPr>
        <w:t>1.比较法。</w:t>
      </w:r>
      <w:r>
        <w:rPr>
          <w:rFonts w:hint="eastAsia" w:ascii="仿宋" w:hAnsi="仿宋" w:eastAsia="仿宋" w:cs="仿宋"/>
          <w:color w:val="000000"/>
          <w:kern w:val="0"/>
          <w:sz w:val="32"/>
          <w:szCs w:val="32"/>
        </w:rPr>
        <w:t xml:space="preserve">是指通过对绩效目标与预期实施效果、历史与当期情况、不同部门和地区同类支出的比较，综合分析绩效目标实现程度。 </w:t>
      </w:r>
    </w:p>
    <w:p>
      <w:pPr>
        <w:spacing w:line="560" w:lineRule="exact"/>
        <w:ind w:firstLine="650" w:firstLineChars="203"/>
        <w:rPr>
          <w:rFonts w:hint="eastAsia" w:ascii="仿宋" w:hAnsi="仿宋" w:eastAsia="仿宋" w:cs="仿宋"/>
          <w:color w:val="000000"/>
          <w:kern w:val="0"/>
          <w:sz w:val="32"/>
          <w:szCs w:val="32"/>
        </w:rPr>
      </w:pPr>
      <w:r>
        <w:rPr>
          <w:rFonts w:hint="eastAsia" w:ascii="仿宋" w:hAnsi="仿宋" w:eastAsia="仿宋" w:cs="仿宋"/>
          <w:bCs/>
          <w:color w:val="000000"/>
          <w:kern w:val="0"/>
          <w:sz w:val="32"/>
          <w:szCs w:val="32"/>
        </w:rPr>
        <w:t>2.因素分析法。</w:t>
      </w:r>
      <w:r>
        <w:rPr>
          <w:rFonts w:hint="eastAsia" w:ascii="仿宋" w:hAnsi="仿宋" w:eastAsia="仿宋" w:cs="仿宋"/>
          <w:color w:val="000000"/>
          <w:kern w:val="0"/>
          <w:sz w:val="32"/>
          <w:szCs w:val="32"/>
        </w:rPr>
        <w:t xml:space="preserve">是指通过综合分析影响绩效目标实现、预期实施效果的内外因素，评估绩效目标的预期实现程度。 </w:t>
      </w:r>
    </w:p>
    <w:p>
      <w:pPr>
        <w:spacing w:line="560" w:lineRule="exact"/>
        <w:ind w:firstLine="640" w:firstLineChars="200"/>
        <w:rPr>
          <w:rFonts w:hint="eastAsia" w:ascii="仿宋" w:hAnsi="仿宋" w:eastAsia="仿宋" w:cs="仿宋"/>
          <w:color w:val="000000"/>
          <w:kern w:val="0"/>
          <w:sz w:val="32"/>
          <w:szCs w:val="32"/>
        </w:rPr>
      </w:pPr>
      <w:r>
        <w:rPr>
          <w:rFonts w:hint="eastAsia" w:ascii="仿宋" w:hAnsi="仿宋" w:eastAsia="仿宋" w:cs="仿宋"/>
          <w:bCs/>
          <w:color w:val="000000"/>
          <w:kern w:val="0"/>
          <w:sz w:val="32"/>
          <w:szCs w:val="32"/>
        </w:rPr>
        <w:t>3.公众评判法。</w:t>
      </w:r>
      <w:r>
        <w:rPr>
          <w:rFonts w:hint="eastAsia" w:ascii="仿宋" w:hAnsi="仿宋" w:eastAsia="仿宋" w:cs="仿宋"/>
          <w:color w:val="000000"/>
          <w:kern w:val="0"/>
          <w:sz w:val="32"/>
          <w:szCs w:val="32"/>
        </w:rPr>
        <w:t xml:space="preserve">是指通过专家评估、公众问卷及抽样调查等对财政支出效果进行评判，评估绩效目标的预期实现程度。 </w:t>
      </w:r>
    </w:p>
    <w:p>
      <w:pPr>
        <w:widowControl/>
        <w:spacing w:line="560" w:lineRule="exact"/>
        <w:ind w:firstLine="650" w:firstLineChars="203"/>
        <w:rPr>
          <w:rFonts w:hint="eastAsia" w:ascii="仿宋" w:hAnsi="仿宋" w:eastAsia="仿宋" w:cs="仿宋"/>
          <w:color w:val="000000"/>
          <w:kern w:val="0"/>
          <w:sz w:val="32"/>
          <w:szCs w:val="32"/>
        </w:rPr>
      </w:pPr>
      <w:r>
        <w:rPr>
          <w:rFonts w:hint="eastAsia" w:ascii="仿宋" w:hAnsi="仿宋" w:eastAsia="仿宋" w:cs="仿宋"/>
          <w:bCs/>
          <w:color w:val="000000"/>
          <w:kern w:val="0"/>
          <w:sz w:val="32"/>
          <w:szCs w:val="32"/>
        </w:rPr>
        <w:t>4.专家评议法。</w:t>
      </w:r>
      <w:r>
        <w:rPr>
          <w:rFonts w:hint="eastAsia" w:ascii="仿宋" w:hAnsi="仿宋" w:eastAsia="仿宋" w:cs="仿宋"/>
          <w:color w:val="000000"/>
          <w:kern w:val="0"/>
          <w:sz w:val="32"/>
          <w:szCs w:val="32"/>
        </w:rPr>
        <w:t>是指专家在阅读相关资料后，将自己的看法、观点、建议以口头或书面形式、定性或定量方式表达出来，对评估对象做出最终价值判断。</w:t>
      </w:r>
    </w:p>
    <w:p>
      <w:pPr>
        <w:widowControl/>
        <w:spacing w:line="560" w:lineRule="exact"/>
        <w:ind w:firstLine="650" w:firstLineChars="203"/>
        <w:rPr>
          <w:rFonts w:hint="eastAsia" w:ascii="仿宋" w:hAnsi="仿宋" w:eastAsia="仿宋" w:cs="仿宋"/>
          <w:bCs/>
          <w:color w:val="000000"/>
          <w:kern w:val="0"/>
          <w:sz w:val="32"/>
          <w:szCs w:val="32"/>
        </w:rPr>
      </w:pPr>
      <w:r>
        <w:rPr>
          <w:rFonts w:hint="eastAsia" w:ascii="仿宋" w:hAnsi="仿宋" w:eastAsia="仿宋" w:cs="仿宋"/>
          <w:bCs/>
          <w:color w:val="000000"/>
          <w:kern w:val="0"/>
          <w:sz w:val="32"/>
          <w:szCs w:val="32"/>
        </w:rPr>
        <w:t>5.其他适宜的评估方法。</w:t>
      </w:r>
    </w:p>
    <w:p>
      <w:pPr>
        <w:widowControl/>
        <w:spacing w:line="560" w:lineRule="exact"/>
        <w:ind w:firstLine="650" w:firstLineChars="203"/>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根据评价对象的具体情况，可采用但不限于以上一种或多种方法进行绩效评价。</w:t>
      </w:r>
    </w:p>
    <w:p>
      <w:pPr>
        <w:widowControl/>
        <w:spacing w:line="560" w:lineRule="exact"/>
        <w:ind w:firstLine="650" w:firstLineChars="203"/>
        <w:rPr>
          <w:rFonts w:hint="eastAsia" w:ascii="仿宋" w:hAnsi="仿宋" w:eastAsia="仿宋" w:cs="仿宋"/>
          <w:color w:val="000000"/>
          <w:kern w:val="0"/>
          <w:sz w:val="32"/>
          <w:szCs w:val="32"/>
        </w:rPr>
      </w:pPr>
    </w:p>
    <w:p>
      <w:pPr>
        <w:spacing w:line="560" w:lineRule="exact"/>
        <w:outlineLvl w:val="2"/>
        <w:rPr>
          <w:rFonts w:hint="eastAsia" w:ascii="黑体" w:hAnsi="黑体" w:eastAsia="黑体" w:cs="黑体"/>
          <w:color w:val="000000"/>
          <w:sz w:val="32"/>
          <w:szCs w:val="32"/>
        </w:rPr>
      </w:pPr>
      <w:r>
        <w:rPr>
          <w:rFonts w:hint="eastAsia" w:ascii="黑体" w:hAnsi="黑体" w:eastAsia="黑体" w:cs="黑体"/>
          <w:color w:val="000000"/>
          <w:sz w:val="32"/>
          <w:szCs w:val="32"/>
        </w:rPr>
        <w:t>附件1-2</w:t>
      </w:r>
    </w:p>
    <w:p>
      <w:pPr>
        <w:spacing w:line="560" w:lineRule="exact"/>
        <w:jc w:val="center"/>
        <w:rPr>
          <w:rFonts w:hint="default" w:ascii="Times New Roman" w:hAnsi="Times New Roman" w:eastAsia="黑体" w:cs="Times New Roman"/>
          <w:color w:val="000000"/>
          <w:sz w:val="32"/>
          <w:szCs w:val="32"/>
        </w:rPr>
      </w:pPr>
    </w:p>
    <w:p>
      <w:pPr>
        <w:spacing w:line="560" w:lineRule="exact"/>
        <w:jc w:val="center"/>
        <w:rPr>
          <w:rFonts w:hint="default" w:ascii="Times New Roman" w:hAnsi="Times New Roman" w:cs="Times New Roman"/>
          <w:b/>
          <w:bCs/>
          <w:color w:val="000000"/>
          <w:sz w:val="44"/>
          <w:szCs w:val="44"/>
        </w:rPr>
      </w:pPr>
      <w:r>
        <w:rPr>
          <w:rFonts w:hint="default" w:ascii="Times New Roman" w:hAnsi="Times New Roman" w:cs="Times New Roman"/>
          <w:b/>
          <w:bCs/>
          <w:color w:val="000000"/>
          <w:w w:val="99"/>
          <w:sz w:val="44"/>
          <w:szCs w:val="44"/>
        </w:rPr>
        <w:t>事前绩效评估资料准备清单</w:t>
      </w:r>
    </w:p>
    <w:p>
      <w:pPr>
        <w:pStyle w:val="2"/>
        <w:spacing w:line="560" w:lineRule="exact"/>
        <w:ind w:firstLine="560"/>
        <w:rPr>
          <w:rFonts w:hint="default" w:ascii="Times New Roman" w:hAnsi="Times New Roman" w:eastAsia="黑体" w:cs="Times New Roman"/>
          <w:bCs/>
          <w:color w:val="000000"/>
        </w:rPr>
      </w:pPr>
    </w:p>
    <w:p>
      <w:pPr>
        <w:pStyle w:val="2"/>
        <w:spacing w:line="560" w:lineRule="exact"/>
        <w:ind w:firstLine="560"/>
        <w:rPr>
          <w:rFonts w:hint="default" w:ascii="Times New Roman" w:hAnsi="Times New Roman" w:eastAsia="黑体" w:cs="Times New Roman"/>
          <w:bCs/>
        </w:rPr>
      </w:pPr>
      <w:r>
        <w:rPr>
          <w:rFonts w:hint="default" w:ascii="Times New Roman" w:hAnsi="Times New Roman" w:eastAsia="黑体" w:cs="Times New Roman"/>
          <w:bCs/>
          <w:color w:val="000000"/>
        </w:rPr>
        <w:t>一、项目</w:t>
      </w:r>
      <w:r>
        <w:rPr>
          <w:rFonts w:hint="eastAsia" w:ascii="黑体" w:hAnsi="黑体" w:eastAsia="黑体" w:cs="黑体"/>
          <w:bCs/>
          <w:color w:val="000000"/>
        </w:rPr>
        <w:t>单位需填报</w:t>
      </w:r>
      <w:r>
        <w:rPr>
          <w:rFonts w:hint="eastAsia" w:ascii="黑体" w:hAnsi="黑体" w:eastAsia="黑体" w:cs="黑体"/>
          <w:bCs/>
        </w:rPr>
        <w:t>的资料（详见附件1-3-1至1-3-3）</w:t>
      </w:r>
    </w:p>
    <w:p>
      <w:pPr>
        <w:pStyle w:val="2"/>
        <w:spacing w:line="560" w:lineRule="exact"/>
        <w:ind w:firstLine="560"/>
        <w:rPr>
          <w:rFonts w:hint="eastAsia" w:ascii="仿宋" w:hAnsi="仿宋" w:eastAsia="仿宋" w:cs="仿宋"/>
          <w:kern w:val="0"/>
        </w:rPr>
      </w:pPr>
      <w:r>
        <w:rPr>
          <w:rFonts w:hint="eastAsia" w:ascii="仿宋" w:hAnsi="仿宋" w:eastAsia="仿宋" w:cs="仿宋"/>
          <w:kern w:val="0"/>
        </w:rPr>
        <w:t>1.事前绩效评估项目绩效目标申报表;</w:t>
      </w:r>
    </w:p>
    <w:p>
      <w:pPr>
        <w:pStyle w:val="2"/>
        <w:spacing w:line="560" w:lineRule="exact"/>
        <w:ind w:firstLine="560"/>
        <w:rPr>
          <w:rFonts w:hint="eastAsia" w:ascii="仿宋" w:hAnsi="仿宋" w:eastAsia="仿宋" w:cs="仿宋"/>
          <w:kern w:val="0"/>
        </w:rPr>
      </w:pPr>
      <w:r>
        <w:rPr>
          <w:rFonts w:hint="eastAsia" w:ascii="仿宋" w:hAnsi="仿宋" w:eastAsia="仿宋" w:cs="仿宋"/>
          <w:kern w:val="0"/>
        </w:rPr>
        <w:t>2.事前绩效评估项目预期绩效与管控措施申报表；</w:t>
      </w:r>
    </w:p>
    <w:p>
      <w:pPr>
        <w:pStyle w:val="2"/>
        <w:spacing w:line="560" w:lineRule="exact"/>
        <w:ind w:firstLine="560"/>
        <w:rPr>
          <w:rFonts w:hint="eastAsia" w:ascii="仿宋" w:hAnsi="仿宋" w:eastAsia="仿宋" w:cs="仿宋"/>
          <w:kern w:val="0"/>
        </w:rPr>
      </w:pPr>
      <w:r>
        <w:rPr>
          <w:rFonts w:hint="eastAsia" w:ascii="仿宋" w:hAnsi="仿宋" w:eastAsia="仿宋" w:cs="仿宋"/>
          <w:kern w:val="0"/>
        </w:rPr>
        <w:t>3.事前绩效评估项目预期绩效报告（仅在委托第三方机构开展事前绩效评估工作时填报）。</w:t>
      </w:r>
    </w:p>
    <w:p>
      <w:pPr>
        <w:pStyle w:val="2"/>
        <w:spacing w:line="560" w:lineRule="exact"/>
        <w:ind w:firstLine="560"/>
        <w:rPr>
          <w:rFonts w:hint="default" w:ascii="Times New Roman" w:hAnsi="Times New Roman" w:eastAsia="黑体" w:cs="Times New Roman"/>
          <w:bCs/>
          <w:color w:val="000000"/>
        </w:rPr>
      </w:pPr>
      <w:r>
        <w:rPr>
          <w:rFonts w:hint="default" w:ascii="Times New Roman" w:hAnsi="Times New Roman" w:eastAsia="黑体" w:cs="Times New Roman"/>
          <w:bCs/>
          <w:color w:val="000000"/>
        </w:rPr>
        <w:t>二、项目单位需准备的资料</w:t>
      </w:r>
    </w:p>
    <w:p>
      <w:pPr>
        <w:pStyle w:val="2"/>
        <w:spacing w:line="560" w:lineRule="exact"/>
        <w:ind w:firstLine="560"/>
        <w:rPr>
          <w:rFonts w:hint="default" w:ascii="Times New Roman" w:hAnsi="Times New Roman" w:eastAsia="楷体" w:cs="Times New Roman"/>
          <w:b/>
          <w:color w:val="000000"/>
        </w:rPr>
      </w:pPr>
      <w:r>
        <w:rPr>
          <w:rFonts w:hint="default" w:ascii="Times New Roman" w:hAnsi="Times New Roman" w:eastAsia="楷体_GB2312" w:cs="Times New Roman"/>
          <w:b/>
        </w:rPr>
        <w:t>（一）政策制度性文件。</w:t>
      </w:r>
    </w:p>
    <w:p>
      <w:pPr>
        <w:pStyle w:val="2"/>
        <w:spacing w:line="560" w:lineRule="exact"/>
        <w:ind w:firstLine="560"/>
        <w:rPr>
          <w:rFonts w:hint="eastAsia" w:ascii="仿宋" w:hAnsi="仿宋" w:eastAsia="仿宋" w:cs="仿宋"/>
          <w:color w:val="000000"/>
          <w:kern w:val="0"/>
        </w:rPr>
      </w:pPr>
      <w:r>
        <w:rPr>
          <w:rFonts w:hint="eastAsia" w:ascii="仿宋" w:hAnsi="仿宋" w:eastAsia="仿宋" w:cs="仿宋"/>
          <w:bCs/>
          <w:color w:val="000000"/>
        </w:rPr>
        <w:t>1</w:t>
      </w:r>
      <w:r>
        <w:rPr>
          <w:rFonts w:hint="eastAsia" w:ascii="仿宋" w:hAnsi="仿宋" w:eastAsia="仿宋" w:cs="仿宋"/>
          <w:color w:val="000000"/>
          <w:kern w:val="0"/>
        </w:rPr>
        <w:t>.国家</w:t>
      </w:r>
      <w:r>
        <w:rPr>
          <w:rFonts w:hint="eastAsia" w:ascii="仿宋" w:hAnsi="仿宋" w:eastAsia="仿宋" w:cs="仿宋"/>
          <w:color w:val="000000"/>
          <w:kern w:val="0"/>
          <w:lang w:eastAsia="zh-CN"/>
        </w:rPr>
        <w:t>、</w:t>
      </w:r>
      <w:r>
        <w:rPr>
          <w:rFonts w:hint="eastAsia" w:ascii="仿宋" w:hAnsi="仿宋" w:eastAsia="仿宋" w:cs="仿宋"/>
          <w:color w:val="000000"/>
          <w:kern w:val="0"/>
        </w:rPr>
        <w:t>省</w:t>
      </w:r>
      <w:r>
        <w:rPr>
          <w:rFonts w:hint="eastAsia" w:ascii="仿宋" w:hAnsi="仿宋" w:eastAsia="仿宋" w:cs="仿宋"/>
          <w:color w:val="000000"/>
          <w:kern w:val="0"/>
          <w:lang w:eastAsia="zh-CN"/>
        </w:rPr>
        <w:t>、市</w:t>
      </w:r>
      <w:r>
        <w:rPr>
          <w:rFonts w:hint="eastAsia" w:ascii="仿宋" w:hAnsi="仿宋" w:eastAsia="仿宋" w:cs="仿宋"/>
          <w:color w:val="000000"/>
          <w:kern w:val="0"/>
        </w:rPr>
        <w:t>相关法律、法规和规章制度;</w:t>
      </w:r>
    </w:p>
    <w:p>
      <w:pPr>
        <w:pStyle w:val="2"/>
        <w:spacing w:line="560" w:lineRule="exact"/>
        <w:ind w:firstLine="560"/>
        <w:rPr>
          <w:rFonts w:hint="eastAsia" w:ascii="仿宋" w:hAnsi="仿宋" w:eastAsia="仿宋" w:cs="仿宋"/>
          <w:color w:val="000000"/>
          <w:kern w:val="0"/>
        </w:rPr>
      </w:pPr>
      <w:r>
        <w:rPr>
          <w:rFonts w:hint="eastAsia" w:ascii="仿宋" w:hAnsi="仿宋" w:eastAsia="仿宋" w:cs="仿宋"/>
          <w:color w:val="000000"/>
          <w:kern w:val="0"/>
        </w:rPr>
        <w:t>2.国家</w:t>
      </w:r>
      <w:r>
        <w:rPr>
          <w:rFonts w:hint="eastAsia" w:ascii="仿宋" w:hAnsi="仿宋" w:eastAsia="仿宋" w:cs="仿宋"/>
          <w:color w:val="000000"/>
          <w:kern w:val="0"/>
          <w:lang w:eastAsia="zh-CN"/>
        </w:rPr>
        <w:t>、省、市</w:t>
      </w:r>
      <w:r>
        <w:rPr>
          <w:rFonts w:hint="eastAsia" w:ascii="仿宋" w:hAnsi="仿宋" w:eastAsia="仿宋" w:cs="仿宋"/>
          <w:color w:val="000000"/>
          <w:kern w:val="0"/>
        </w:rPr>
        <w:t>确定的大政方针、政策（包括国家、省</w:t>
      </w:r>
      <w:r>
        <w:rPr>
          <w:rFonts w:hint="eastAsia" w:ascii="仿宋" w:hAnsi="仿宋" w:eastAsia="仿宋" w:cs="仿宋"/>
          <w:color w:val="000000"/>
          <w:kern w:val="0"/>
          <w:lang w:eastAsia="zh-CN"/>
        </w:rPr>
        <w:t>、市</w:t>
      </w:r>
      <w:r>
        <w:rPr>
          <w:rFonts w:hint="eastAsia" w:ascii="仿宋" w:hAnsi="仿宋" w:eastAsia="仿宋" w:cs="仿宋"/>
          <w:color w:val="000000"/>
          <w:kern w:val="0"/>
        </w:rPr>
        <w:t>相关领域文件及</w:t>
      </w:r>
      <w:r>
        <w:rPr>
          <w:rFonts w:hint="eastAsia" w:ascii="仿宋" w:hAnsi="仿宋" w:eastAsia="仿宋" w:cs="仿宋"/>
          <w:color w:val="000000"/>
          <w:kern w:val="0"/>
          <w:lang w:eastAsia="zh-CN"/>
        </w:rPr>
        <w:t>省市</w:t>
      </w:r>
      <w:r>
        <w:rPr>
          <w:rFonts w:hint="eastAsia" w:ascii="仿宋" w:hAnsi="仿宋" w:eastAsia="仿宋" w:cs="仿宋"/>
          <w:color w:val="000000"/>
          <w:kern w:val="0"/>
        </w:rPr>
        <w:t>领导批示等）;</w:t>
      </w:r>
    </w:p>
    <w:p>
      <w:pPr>
        <w:pStyle w:val="2"/>
        <w:spacing w:line="560" w:lineRule="exact"/>
        <w:ind w:firstLine="560"/>
        <w:rPr>
          <w:rFonts w:hint="eastAsia" w:ascii="仿宋" w:hAnsi="仿宋" w:eastAsia="仿宋" w:cs="仿宋"/>
          <w:color w:val="000000"/>
          <w:kern w:val="0"/>
        </w:rPr>
      </w:pPr>
      <w:r>
        <w:rPr>
          <w:rFonts w:hint="eastAsia" w:ascii="仿宋" w:hAnsi="仿宋" w:eastAsia="仿宋" w:cs="仿宋"/>
          <w:color w:val="000000"/>
          <w:kern w:val="0"/>
        </w:rPr>
        <w:t>3.部门或行业的发展规划（计划）;</w:t>
      </w:r>
    </w:p>
    <w:p>
      <w:pPr>
        <w:pStyle w:val="2"/>
        <w:spacing w:line="560" w:lineRule="exact"/>
        <w:ind w:firstLine="560"/>
        <w:rPr>
          <w:rFonts w:hint="eastAsia" w:ascii="仿宋" w:hAnsi="仿宋" w:eastAsia="仿宋" w:cs="仿宋"/>
          <w:color w:val="000000"/>
          <w:kern w:val="0"/>
        </w:rPr>
      </w:pPr>
      <w:r>
        <w:rPr>
          <w:rFonts w:hint="eastAsia" w:ascii="仿宋" w:hAnsi="仿宋" w:eastAsia="仿宋" w:cs="仿宋"/>
          <w:color w:val="000000"/>
          <w:kern w:val="0"/>
        </w:rPr>
        <w:t>4.部门或单位工作职责、中长期发展规划及年度工作计划;</w:t>
      </w:r>
    </w:p>
    <w:p>
      <w:pPr>
        <w:pStyle w:val="2"/>
        <w:spacing w:line="560" w:lineRule="exact"/>
        <w:ind w:firstLine="560"/>
        <w:rPr>
          <w:rFonts w:hint="eastAsia" w:ascii="仿宋" w:hAnsi="仿宋" w:eastAsia="仿宋" w:cs="仿宋"/>
          <w:color w:val="000000"/>
          <w:kern w:val="0"/>
        </w:rPr>
      </w:pPr>
      <w:r>
        <w:rPr>
          <w:rFonts w:hint="eastAsia" w:ascii="仿宋" w:hAnsi="仿宋" w:eastAsia="仿宋" w:cs="仿宋"/>
          <w:color w:val="000000"/>
          <w:kern w:val="0"/>
        </w:rPr>
        <w:t>5.相关行业标准及专业技术规范;</w:t>
      </w:r>
    </w:p>
    <w:p>
      <w:pPr>
        <w:pStyle w:val="2"/>
        <w:spacing w:line="560" w:lineRule="exact"/>
        <w:ind w:firstLine="560"/>
        <w:rPr>
          <w:rFonts w:hint="eastAsia" w:ascii="仿宋" w:hAnsi="仿宋" w:eastAsia="仿宋" w:cs="仿宋"/>
          <w:color w:val="000000"/>
          <w:kern w:val="0"/>
        </w:rPr>
      </w:pPr>
      <w:r>
        <w:rPr>
          <w:rFonts w:hint="eastAsia" w:ascii="仿宋" w:hAnsi="仿宋" w:eastAsia="仿宋" w:cs="仿宋"/>
          <w:color w:val="000000"/>
          <w:kern w:val="0"/>
        </w:rPr>
        <w:t>6.与项目相关的组织管理制度。</w:t>
      </w:r>
    </w:p>
    <w:p>
      <w:pPr>
        <w:pStyle w:val="2"/>
        <w:spacing w:line="560" w:lineRule="exact"/>
        <w:ind w:firstLine="560"/>
        <w:rPr>
          <w:rFonts w:hint="default" w:ascii="Times New Roman" w:hAnsi="Times New Roman" w:eastAsia="楷体_GB2312" w:cs="Times New Roman"/>
          <w:b/>
        </w:rPr>
      </w:pPr>
      <w:r>
        <w:rPr>
          <w:rFonts w:hint="default" w:ascii="Times New Roman" w:hAnsi="Times New Roman" w:eastAsia="楷体_GB2312" w:cs="Times New Roman"/>
          <w:b/>
        </w:rPr>
        <w:t>（二）立项申请资料。</w:t>
      </w:r>
    </w:p>
    <w:p>
      <w:pPr>
        <w:pStyle w:val="2"/>
        <w:spacing w:line="560" w:lineRule="exact"/>
        <w:ind w:firstLine="560"/>
        <w:rPr>
          <w:rFonts w:hint="eastAsia" w:ascii="仿宋" w:hAnsi="仿宋" w:eastAsia="仿宋" w:cs="仿宋"/>
          <w:color w:val="000000"/>
          <w:kern w:val="0"/>
        </w:rPr>
      </w:pPr>
      <w:r>
        <w:rPr>
          <w:rFonts w:hint="eastAsia" w:ascii="仿宋" w:hAnsi="仿宋" w:eastAsia="仿宋" w:cs="仿宋"/>
          <w:bCs/>
          <w:color w:val="000000"/>
        </w:rPr>
        <w:t>1</w:t>
      </w:r>
      <w:r>
        <w:rPr>
          <w:rFonts w:hint="eastAsia" w:ascii="仿宋" w:hAnsi="仿宋" w:eastAsia="仿宋" w:cs="仿宋"/>
          <w:color w:val="000000"/>
          <w:kern w:val="0"/>
        </w:rPr>
        <w:t>.项目申报书;</w:t>
      </w:r>
    </w:p>
    <w:p>
      <w:pPr>
        <w:pStyle w:val="2"/>
        <w:spacing w:line="560" w:lineRule="exact"/>
        <w:ind w:firstLine="560"/>
        <w:rPr>
          <w:rFonts w:hint="eastAsia" w:ascii="仿宋" w:hAnsi="仿宋" w:eastAsia="仿宋" w:cs="仿宋"/>
          <w:color w:val="000000"/>
          <w:kern w:val="0"/>
        </w:rPr>
      </w:pPr>
      <w:r>
        <w:rPr>
          <w:rFonts w:hint="eastAsia" w:ascii="仿宋" w:hAnsi="仿宋" w:eastAsia="仿宋" w:cs="仿宋"/>
          <w:color w:val="000000"/>
          <w:kern w:val="0"/>
        </w:rPr>
        <w:t>2.项目可行性研究报告、实施方案;</w:t>
      </w:r>
    </w:p>
    <w:p>
      <w:pPr>
        <w:pStyle w:val="2"/>
        <w:spacing w:line="560" w:lineRule="exact"/>
        <w:ind w:firstLine="560"/>
        <w:rPr>
          <w:rFonts w:hint="eastAsia" w:ascii="仿宋" w:hAnsi="仿宋" w:eastAsia="仿宋" w:cs="仿宋"/>
          <w:color w:val="000000"/>
          <w:kern w:val="0"/>
        </w:rPr>
      </w:pPr>
      <w:r>
        <w:rPr>
          <w:rFonts w:hint="eastAsia" w:ascii="仿宋" w:hAnsi="仿宋" w:eastAsia="仿宋" w:cs="仿宋"/>
          <w:color w:val="000000"/>
          <w:kern w:val="0"/>
        </w:rPr>
        <w:t>3.调研实施方案、调研报告、立项专家论证意见;</w:t>
      </w:r>
    </w:p>
    <w:p>
      <w:pPr>
        <w:pStyle w:val="2"/>
        <w:spacing w:line="560" w:lineRule="exact"/>
        <w:ind w:firstLine="560"/>
        <w:rPr>
          <w:rFonts w:hint="eastAsia" w:ascii="仿宋" w:hAnsi="仿宋" w:eastAsia="仿宋" w:cs="仿宋"/>
          <w:bCs/>
          <w:color w:val="000000"/>
        </w:rPr>
      </w:pPr>
      <w:r>
        <w:rPr>
          <w:rFonts w:hint="eastAsia" w:ascii="仿宋" w:hAnsi="仿宋" w:eastAsia="仿宋" w:cs="仿宋"/>
          <w:bCs/>
          <w:color w:val="000000"/>
        </w:rPr>
        <w:t>4.项目初步设计资料或总体设计、初步设计图纸;</w:t>
      </w:r>
    </w:p>
    <w:p>
      <w:pPr>
        <w:pStyle w:val="2"/>
        <w:spacing w:line="560" w:lineRule="exact"/>
        <w:ind w:firstLine="560"/>
        <w:rPr>
          <w:rFonts w:hint="eastAsia" w:ascii="仿宋" w:hAnsi="仿宋" w:eastAsia="仿宋" w:cs="仿宋"/>
          <w:bCs/>
          <w:color w:val="000000"/>
        </w:rPr>
      </w:pPr>
      <w:r>
        <w:rPr>
          <w:rFonts w:hint="eastAsia" w:ascii="仿宋" w:hAnsi="仿宋" w:eastAsia="仿宋" w:cs="仿宋"/>
          <w:bCs/>
          <w:color w:val="000000"/>
        </w:rPr>
        <w:t>5.项目总体实施方案及年度工作计划，部分重点工作任务实施方案和工作计划;</w:t>
      </w:r>
    </w:p>
    <w:p>
      <w:pPr>
        <w:pStyle w:val="2"/>
        <w:spacing w:line="560" w:lineRule="exact"/>
        <w:ind w:firstLine="560"/>
        <w:rPr>
          <w:rFonts w:hint="eastAsia" w:ascii="仿宋" w:hAnsi="仿宋" w:eastAsia="仿宋" w:cs="仿宋"/>
          <w:bCs/>
          <w:color w:val="000000"/>
        </w:rPr>
      </w:pPr>
      <w:r>
        <w:rPr>
          <w:rFonts w:hint="eastAsia" w:ascii="仿宋" w:hAnsi="仿宋" w:eastAsia="仿宋" w:cs="仿宋"/>
          <w:bCs/>
          <w:color w:val="000000"/>
        </w:rPr>
        <w:t>6.项目调整情况及其报告和批准文件。</w:t>
      </w:r>
    </w:p>
    <w:p>
      <w:pPr>
        <w:pStyle w:val="2"/>
        <w:spacing w:line="560" w:lineRule="exact"/>
        <w:ind w:firstLine="560"/>
        <w:rPr>
          <w:rFonts w:hint="default" w:ascii="Times New Roman" w:hAnsi="Times New Roman" w:eastAsia="楷体_GB2312" w:cs="Times New Roman"/>
          <w:b/>
        </w:rPr>
      </w:pPr>
      <w:r>
        <w:rPr>
          <w:rFonts w:hint="default" w:ascii="Times New Roman" w:hAnsi="Times New Roman" w:eastAsia="楷体_GB2312" w:cs="Times New Roman"/>
          <w:b/>
        </w:rPr>
        <w:t>（三）预算申请资料。</w:t>
      </w:r>
    </w:p>
    <w:p>
      <w:pPr>
        <w:pStyle w:val="2"/>
        <w:spacing w:line="560" w:lineRule="exact"/>
        <w:ind w:firstLine="560"/>
        <w:rPr>
          <w:rFonts w:hint="eastAsia" w:ascii="仿宋" w:hAnsi="仿宋" w:eastAsia="仿宋" w:cs="仿宋"/>
          <w:bCs/>
          <w:color w:val="000000"/>
        </w:rPr>
      </w:pPr>
      <w:r>
        <w:rPr>
          <w:rFonts w:hint="eastAsia" w:ascii="仿宋" w:hAnsi="仿宋" w:eastAsia="仿宋" w:cs="仿宋"/>
          <w:bCs/>
          <w:color w:val="000000"/>
        </w:rPr>
        <w:t>1.项目预算及明细、测算说明;</w:t>
      </w:r>
    </w:p>
    <w:p>
      <w:pPr>
        <w:pStyle w:val="2"/>
        <w:spacing w:line="560" w:lineRule="exact"/>
        <w:ind w:firstLine="560"/>
        <w:rPr>
          <w:rFonts w:hint="eastAsia" w:ascii="仿宋" w:hAnsi="仿宋" w:eastAsia="仿宋" w:cs="仿宋"/>
          <w:bCs/>
          <w:color w:val="000000"/>
        </w:rPr>
      </w:pPr>
      <w:r>
        <w:rPr>
          <w:rFonts w:hint="eastAsia" w:ascii="仿宋" w:hAnsi="仿宋" w:eastAsia="仿宋" w:cs="仿宋"/>
          <w:bCs/>
          <w:color w:val="000000"/>
        </w:rPr>
        <w:t>2.主要材料、设备的名称、型号、规格品牌、生产厂家、价格及依据;</w:t>
      </w:r>
    </w:p>
    <w:p>
      <w:pPr>
        <w:pStyle w:val="2"/>
        <w:spacing w:line="560" w:lineRule="exact"/>
        <w:ind w:firstLine="560"/>
        <w:rPr>
          <w:rFonts w:hint="eastAsia" w:ascii="仿宋" w:hAnsi="仿宋" w:eastAsia="仿宋" w:cs="仿宋"/>
          <w:bCs/>
          <w:color w:val="000000"/>
        </w:rPr>
      </w:pPr>
      <w:r>
        <w:rPr>
          <w:rFonts w:hint="eastAsia" w:ascii="仿宋" w:hAnsi="仿宋" w:eastAsia="仿宋" w:cs="仿宋"/>
          <w:bCs/>
          <w:color w:val="000000"/>
        </w:rPr>
        <w:t>3.工程预算定额、取费标准及行业主管部门制定的相关专业定额;</w:t>
      </w:r>
    </w:p>
    <w:p>
      <w:pPr>
        <w:pStyle w:val="2"/>
        <w:spacing w:line="560" w:lineRule="exact"/>
        <w:ind w:firstLine="560"/>
        <w:rPr>
          <w:rFonts w:hint="eastAsia" w:ascii="仿宋" w:hAnsi="仿宋" w:eastAsia="仿宋" w:cs="仿宋"/>
          <w:bCs/>
          <w:color w:val="000000"/>
        </w:rPr>
      </w:pPr>
      <w:r>
        <w:rPr>
          <w:rFonts w:hint="eastAsia" w:ascii="仿宋" w:hAnsi="仿宋" w:eastAsia="仿宋" w:cs="仿宋"/>
          <w:bCs/>
          <w:color w:val="000000"/>
        </w:rPr>
        <w:t>4.反映预算资金分配的政策依据、测算依据、定额标准等其他相关文件规定。</w:t>
      </w:r>
    </w:p>
    <w:p>
      <w:pPr>
        <w:adjustRightInd w:val="0"/>
        <w:snapToGrid w:val="0"/>
        <w:spacing w:line="560" w:lineRule="exact"/>
        <w:rPr>
          <w:rFonts w:hint="default" w:ascii="Times New Roman" w:hAnsi="Times New Roman" w:eastAsia="黑体" w:cs="Times New Roman"/>
          <w:kern w:val="0"/>
          <w:sz w:val="32"/>
          <w:szCs w:val="32"/>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default" w:ascii="Times New Roman" w:hAnsi="Times New Roman" w:eastAsia="黑体" w:cs="Times New Roman"/>
          <w:kern w:val="0"/>
          <w:sz w:val="32"/>
          <w:szCs w:val="32"/>
          <w:lang w:val="en-US" w:eastAsia="zh-CN"/>
        </w:rPr>
      </w:pPr>
    </w:p>
    <w:p>
      <w:pPr>
        <w:adjustRightInd w:val="0"/>
        <w:snapToGrid w:val="0"/>
        <w:spacing w:line="560" w:lineRule="exact"/>
        <w:rPr>
          <w:rFonts w:hint="eastAsia" w:ascii="黑体" w:hAnsi="黑体" w:eastAsia="黑体" w:cs="黑体"/>
          <w:sz w:val="32"/>
          <w:szCs w:val="32"/>
        </w:rPr>
      </w:pPr>
      <w:r>
        <w:rPr>
          <w:rFonts w:hint="eastAsia" w:ascii="黑体" w:hAnsi="黑体" w:eastAsia="黑体" w:cs="黑体"/>
          <w:sz w:val="32"/>
          <w:szCs w:val="32"/>
        </w:rPr>
        <w:t>附件1-3</w:t>
      </w:r>
    </w:p>
    <w:p>
      <w:pPr>
        <w:spacing w:line="560" w:lineRule="exact"/>
        <w:rPr>
          <w:rFonts w:hint="default" w:ascii="Times New Roman" w:hAnsi="Times New Roman" w:eastAsia="仿宋_GB2312" w:cs="Times New Roman"/>
          <w:b/>
          <w:bCs/>
          <w:sz w:val="32"/>
          <w:szCs w:val="32"/>
        </w:rPr>
      </w:pPr>
    </w:p>
    <w:p>
      <w:pPr>
        <w:snapToGrid w:val="0"/>
        <w:spacing w:before="159" w:beforeLines="50" w:line="560" w:lineRule="exact"/>
        <w:jc w:val="center"/>
        <w:rPr>
          <w:rFonts w:hint="default" w:ascii="Times New Roman" w:hAnsi="Times New Roman" w:cs="Times New Roman"/>
          <w:b/>
          <w:bCs/>
          <w:sz w:val="44"/>
          <w:szCs w:val="44"/>
        </w:rPr>
      </w:pPr>
      <w:r>
        <w:rPr>
          <w:rFonts w:hint="default" w:ascii="Times New Roman" w:hAnsi="Times New Roman" w:cs="Times New Roman"/>
          <w:b/>
          <w:bCs/>
          <w:sz w:val="44"/>
          <w:szCs w:val="44"/>
        </w:rPr>
        <w:t>事前绩效评估报告</w:t>
      </w:r>
    </w:p>
    <w:p>
      <w:pPr>
        <w:spacing w:line="560" w:lineRule="exact"/>
        <w:jc w:val="center"/>
        <w:outlineLvl w:val="0"/>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（参考提纲）</w:t>
      </w:r>
    </w:p>
    <w:p>
      <w:pPr>
        <w:snapToGrid w:val="0"/>
        <w:spacing w:before="159" w:beforeLines="50" w:line="560" w:lineRule="exact"/>
        <w:rPr>
          <w:rFonts w:hint="default" w:ascii="Times New Roman" w:hAnsi="Times New Roman" w:eastAsia="黑体" w:cs="Times New Roman"/>
          <w:b/>
          <w:sz w:val="48"/>
        </w:rPr>
      </w:pPr>
    </w:p>
    <w:p>
      <w:pPr>
        <w:snapToGrid w:val="0"/>
        <w:spacing w:before="159" w:beforeLines="50" w:line="560" w:lineRule="exact"/>
        <w:rPr>
          <w:rFonts w:hint="default" w:ascii="Times New Roman" w:hAnsi="Times New Roman" w:eastAsia="黑体" w:cs="Times New Roman"/>
          <w:b/>
          <w:sz w:val="48"/>
        </w:rPr>
      </w:pPr>
    </w:p>
    <w:p>
      <w:pPr>
        <w:snapToGrid w:val="0"/>
        <w:spacing w:before="159" w:beforeLines="50" w:line="560" w:lineRule="exact"/>
        <w:jc w:val="center"/>
        <w:rPr>
          <w:rFonts w:hint="default" w:ascii="Times New Roman" w:hAnsi="Times New Roman" w:eastAsia="黑体" w:cs="Times New Roman"/>
          <w:b/>
          <w:sz w:val="48"/>
        </w:rPr>
      </w:pPr>
    </w:p>
    <w:p>
      <w:pPr>
        <w:spacing w:before="159" w:beforeLines="50" w:after="159" w:afterLines="50" w:line="560" w:lineRule="exact"/>
        <w:ind w:left="1581" w:leftChars="753"/>
        <w:rPr>
          <w:rFonts w:hint="default" w:ascii="Times New Roman" w:hAnsi="Times New Roman" w:eastAsia="仿宋_GB2312" w:cs="Times New Roman"/>
          <w:b/>
          <w:sz w:val="30"/>
          <w:u w:val="single"/>
        </w:rPr>
      </w:pPr>
      <w:r>
        <w:rPr>
          <w:rFonts w:hint="default" w:ascii="Times New Roman" w:hAnsi="Times New Roman" w:eastAsia="仿宋_GB2312" w:cs="Times New Roman"/>
          <w:b/>
          <w:sz w:val="30"/>
        </w:rPr>
        <w:t>项目（政策）名称：</w:t>
      </w:r>
      <w:r>
        <w:rPr>
          <w:rFonts w:hint="default" w:ascii="Times New Roman" w:hAnsi="Times New Roman" w:eastAsia="仿宋_GB2312" w:cs="Times New Roman"/>
          <w:sz w:val="30"/>
          <w:u w:val="single"/>
        </w:rPr>
        <w:t xml:space="preserve">                   </w:t>
      </w:r>
    </w:p>
    <w:p>
      <w:pPr>
        <w:spacing w:before="159" w:beforeLines="50" w:after="159" w:afterLines="50" w:line="560" w:lineRule="exact"/>
        <w:ind w:left="1581" w:leftChars="753"/>
        <w:rPr>
          <w:rFonts w:hint="default" w:ascii="Times New Roman" w:hAnsi="Times New Roman" w:eastAsia="仿宋_GB2312" w:cs="Times New Roman"/>
          <w:sz w:val="30"/>
          <w:u w:val="single"/>
        </w:rPr>
      </w:pPr>
      <w:r>
        <w:rPr>
          <w:rFonts w:hint="default" w:ascii="Times New Roman" w:hAnsi="Times New Roman" w:eastAsia="仿宋_GB2312" w:cs="Times New Roman"/>
          <w:b/>
          <w:sz w:val="30"/>
        </w:rPr>
        <w:t>预算单位：</w:t>
      </w:r>
      <w:r>
        <w:rPr>
          <w:rFonts w:hint="default" w:ascii="Times New Roman" w:hAnsi="Times New Roman" w:eastAsia="仿宋_GB2312" w:cs="Times New Roman"/>
          <w:sz w:val="30"/>
          <w:u w:val="single"/>
        </w:rPr>
        <w:t xml:space="preserve">                           </w:t>
      </w:r>
    </w:p>
    <w:p>
      <w:pPr>
        <w:spacing w:before="159" w:beforeLines="50" w:after="159" w:afterLines="50" w:line="560" w:lineRule="exact"/>
        <w:ind w:left="1581" w:leftChars="753"/>
        <w:rPr>
          <w:rFonts w:hint="default" w:ascii="Times New Roman" w:hAnsi="Times New Roman" w:eastAsia="仿宋_GB2312" w:cs="Times New Roman"/>
          <w:b/>
          <w:sz w:val="30"/>
          <w:u w:val="single"/>
        </w:rPr>
      </w:pPr>
      <w:r>
        <w:rPr>
          <w:rFonts w:hint="default" w:ascii="Times New Roman" w:hAnsi="Times New Roman" w:eastAsia="仿宋_GB2312" w:cs="Times New Roman"/>
          <w:b/>
          <w:sz w:val="30"/>
          <w:lang w:eastAsia="zh-CN"/>
        </w:rPr>
        <w:t>市直</w:t>
      </w:r>
      <w:r>
        <w:rPr>
          <w:rFonts w:hint="default" w:ascii="Times New Roman" w:hAnsi="Times New Roman" w:eastAsia="仿宋_GB2312" w:cs="Times New Roman"/>
          <w:b/>
          <w:sz w:val="30"/>
        </w:rPr>
        <w:t>部门：</w:t>
      </w:r>
      <w:r>
        <w:rPr>
          <w:rFonts w:hint="default" w:ascii="Times New Roman" w:hAnsi="Times New Roman" w:eastAsia="仿宋_GB2312" w:cs="Times New Roman"/>
          <w:sz w:val="30"/>
          <w:u w:val="single"/>
        </w:rPr>
        <w:t xml:space="preserve">                           </w:t>
      </w:r>
    </w:p>
    <w:p>
      <w:pPr>
        <w:spacing w:before="159" w:beforeLines="50" w:after="159" w:afterLines="50" w:line="560" w:lineRule="exact"/>
        <w:ind w:left="1581" w:leftChars="753"/>
        <w:rPr>
          <w:rFonts w:hint="default" w:ascii="Times New Roman" w:hAnsi="Times New Roman" w:eastAsia="仿宋_GB2312" w:cs="Times New Roman"/>
          <w:b/>
          <w:sz w:val="30"/>
        </w:rPr>
      </w:pPr>
      <w:r>
        <w:rPr>
          <w:rFonts w:hint="default" w:ascii="Times New Roman" w:hAnsi="Times New Roman" w:eastAsia="仿宋_GB2312" w:cs="Times New Roman"/>
          <w:b/>
          <w:sz w:val="30"/>
        </w:rPr>
        <w:t>评估机构：</w:t>
      </w:r>
      <w:r>
        <w:rPr>
          <w:rFonts w:hint="default" w:ascii="Times New Roman" w:hAnsi="Times New Roman" w:eastAsia="仿宋_GB2312" w:cs="Times New Roman"/>
          <w:sz w:val="30"/>
          <w:u w:val="single"/>
        </w:rPr>
        <w:t xml:space="preserve">（仅在委托第三方机构时填列） </w:t>
      </w:r>
    </w:p>
    <w:p>
      <w:pPr>
        <w:tabs>
          <w:tab w:val="left" w:pos="7200"/>
        </w:tabs>
        <w:spacing w:before="159" w:beforeLines="50" w:after="159" w:afterLines="50" w:line="560" w:lineRule="exact"/>
        <w:ind w:left="1581" w:leftChars="753"/>
        <w:rPr>
          <w:rFonts w:hint="default" w:ascii="Times New Roman" w:hAnsi="Times New Roman" w:eastAsia="仿宋_GB2312" w:cs="Times New Roman"/>
          <w:b/>
          <w:sz w:val="30"/>
          <w:u w:val="single"/>
        </w:rPr>
      </w:pPr>
      <w:r>
        <w:rPr>
          <w:rFonts w:hint="default" w:ascii="Times New Roman" w:hAnsi="Times New Roman" w:eastAsia="仿宋_GB2312" w:cs="Times New Roman"/>
          <w:b/>
          <w:sz w:val="30"/>
        </w:rPr>
        <w:t>评估时间：</w:t>
      </w:r>
      <w:r>
        <w:rPr>
          <w:rFonts w:hint="default" w:ascii="Times New Roman" w:hAnsi="Times New Roman" w:eastAsia="仿宋_GB2312" w:cs="Times New Roman"/>
          <w:b w:val="0"/>
          <w:bCs/>
          <w:sz w:val="30"/>
          <w:u w:val="single"/>
        </w:rPr>
        <w:t xml:space="preserve">                           </w:t>
      </w:r>
      <w:bookmarkStart w:id="0" w:name="_GoBack"/>
      <w:bookmarkEnd w:id="0"/>
    </w:p>
    <w:p>
      <w:pPr>
        <w:tabs>
          <w:tab w:val="left" w:pos="2685"/>
        </w:tabs>
        <w:spacing w:line="560" w:lineRule="exact"/>
        <w:rPr>
          <w:rFonts w:hint="default" w:ascii="Times New Roman" w:hAnsi="Times New Roman" w:eastAsia="仿宋_GB2312" w:cs="Times New Roman"/>
          <w:sz w:val="30"/>
        </w:rPr>
      </w:pPr>
      <w:r>
        <w:rPr>
          <w:rFonts w:hint="default" w:ascii="Times New Roman" w:hAnsi="Times New Roman" w:eastAsia="仿宋_GB2312" w:cs="Times New Roman"/>
          <w:sz w:val="30"/>
        </w:rPr>
        <w:tab/>
      </w:r>
    </w:p>
    <w:p>
      <w:pPr>
        <w:tabs>
          <w:tab w:val="left" w:pos="2685"/>
        </w:tabs>
        <w:spacing w:line="560" w:lineRule="exact"/>
        <w:rPr>
          <w:rFonts w:hint="default" w:ascii="Times New Roman" w:hAnsi="Times New Roman" w:eastAsia="仿宋_GB2312" w:cs="Times New Roman"/>
          <w:sz w:val="30"/>
        </w:rPr>
      </w:pPr>
    </w:p>
    <w:p>
      <w:pPr>
        <w:spacing w:line="560" w:lineRule="exact"/>
        <w:rPr>
          <w:rFonts w:hint="default" w:ascii="Times New Roman" w:hAnsi="Times New Roman" w:cs="Times New Roman"/>
          <w:b/>
          <w:bCs/>
          <w:sz w:val="44"/>
          <w:szCs w:val="44"/>
        </w:rPr>
      </w:pPr>
    </w:p>
    <w:p>
      <w:pPr>
        <w:spacing w:line="560" w:lineRule="exact"/>
        <w:rPr>
          <w:rFonts w:hint="default" w:ascii="Times New Roman" w:hAnsi="Times New Roman" w:cs="Times New Roman"/>
          <w:b/>
          <w:bCs/>
          <w:sz w:val="44"/>
          <w:szCs w:val="44"/>
        </w:rPr>
      </w:pPr>
    </w:p>
    <w:p>
      <w:pPr>
        <w:spacing w:line="560" w:lineRule="exact"/>
        <w:rPr>
          <w:rFonts w:hint="default" w:ascii="Times New Roman" w:hAnsi="Times New Roman" w:cs="Times New Roman"/>
          <w:b/>
          <w:bCs/>
          <w:sz w:val="44"/>
          <w:szCs w:val="44"/>
        </w:rPr>
      </w:pPr>
    </w:p>
    <w:p>
      <w:pPr>
        <w:spacing w:line="560" w:lineRule="exact"/>
        <w:rPr>
          <w:rFonts w:hint="default" w:ascii="Times New Roman" w:hAnsi="Times New Roman" w:cs="Times New Roman"/>
          <w:b/>
          <w:bCs/>
          <w:sz w:val="44"/>
          <w:szCs w:val="44"/>
        </w:rPr>
      </w:pPr>
    </w:p>
    <w:p>
      <w:pPr>
        <w:spacing w:line="560" w:lineRule="exact"/>
        <w:rPr>
          <w:rFonts w:hint="default" w:ascii="Times New Roman" w:hAnsi="Times New Roman" w:cs="Times New Roman"/>
          <w:b/>
          <w:bCs/>
          <w:sz w:val="44"/>
          <w:szCs w:val="44"/>
        </w:rPr>
      </w:pPr>
    </w:p>
    <w:p>
      <w:pPr>
        <w:spacing w:line="560" w:lineRule="exact"/>
        <w:rPr>
          <w:rFonts w:hint="default" w:ascii="Times New Roman" w:hAnsi="Times New Roman" w:cs="Times New Roman"/>
          <w:b/>
          <w:bCs/>
          <w:sz w:val="44"/>
          <w:szCs w:val="44"/>
        </w:rPr>
      </w:pPr>
    </w:p>
    <w:p>
      <w:pPr>
        <w:spacing w:line="560" w:lineRule="exact"/>
        <w:rPr>
          <w:rFonts w:hint="default" w:ascii="Times New Roman" w:hAnsi="Times New Roman" w:cs="Times New Roman"/>
          <w:b/>
          <w:bCs/>
          <w:sz w:val="44"/>
          <w:szCs w:val="44"/>
        </w:rPr>
      </w:pPr>
    </w:p>
    <w:p>
      <w:pPr>
        <w:spacing w:line="560" w:lineRule="exact"/>
        <w:ind w:firstLine="640" w:firstLineChars="200"/>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一、评估对象</w:t>
      </w:r>
    </w:p>
    <w:p>
      <w:pPr>
        <w:autoSpaceDE w:val="0"/>
        <w:autoSpaceDN w:val="0"/>
        <w:adjustRightInd w:val="0"/>
        <w:spacing w:line="560" w:lineRule="exact"/>
        <w:jc w:val="left"/>
        <w:rPr>
          <w:rFonts w:hint="default" w:ascii="Times New Roman" w:hAnsi="Times New Roman" w:eastAsia="仿宋_GB2312" w:cs="Times New Roman"/>
          <w:kern w:val="0"/>
          <w:sz w:val="32"/>
          <w:szCs w:val="32"/>
        </w:rPr>
      </w:pPr>
      <w:r>
        <w:rPr>
          <w:rFonts w:hint="default" w:ascii="Times New Roman" w:hAnsi="Times New Roman" w:eastAsia="仿宋_GB2312" w:cs="Times New Roman"/>
          <w:b/>
          <w:kern w:val="0"/>
          <w:sz w:val="32"/>
          <w:szCs w:val="32"/>
        </w:rPr>
        <w:t xml:space="preserve">  </w:t>
      </w:r>
      <w:r>
        <w:rPr>
          <w:rFonts w:hint="default" w:ascii="Times New Roman" w:hAnsi="Times New Roman" w:eastAsia="仿宋_GB2312" w:cs="Times New Roman"/>
          <w:kern w:val="0"/>
          <w:sz w:val="32"/>
          <w:szCs w:val="32"/>
        </w:rPr>
        <w:t xml:space="preserve">  项目（政策，下同）名称：</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预算单位：</w:t>
      </w:r>
      <w:r>
        <w:rPr>
          <w:rFonts w:hint="default" w:ascii="Times New Roman" w:hAnsi="Times New Roman" w:eastAsia="仿宋_GB2312" w:cs="Times New Roman"/>
          <w:kern w:val="0"/>
          <w:sz w:val="32"/>
          <w:szCs w:val="32"/>
        </w:rPr>
        <w:tab/>
      </w:r>
      <w:r>
        <w:rPr>
          <w:rFonts w:hint="default" w:ascii="Times New Roman" w:hAnsi="Times New Roman" w:eastAsia="仿宋_GB2312" w:cs="Times New Roman"/>
          <w:kern w:val="0"/>
          <w:sz w:val="32"/>
          <w:szCs w:val="32"/>
        </w:rPr>
        <w:tab/>
      </w:r>
      <w:r>
        <w:rPr>
          <w:rFonts w:hint="default" w:ascii="Times New Roman" w:hAnsi="Times New Roman" w:eastAsia="仿宋_GB2312" w:cs="Times New Roman"/>
          <w:kern w:val="0"/>
          <w:sz w:val="32"/>
          <w:szCs w:val="32"/>
        </w:rPr>
        <w:t xml:space="preserve">           省直部门：</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项目属性（新增/延续）：</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项目绩效目标：</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项目资金总额：</w:t>
      </w:r>
      <w:r>
        <w:rPr>
          <w:rFonts w:hint="default" w:ascii="Times New Roman" w:hAnsi="Times New Roman" w:eastAsia="仿宋_GB2312" w:cs="Times New Roman"/>
          <w:kern w:val="0"/>
          <w:sz w:val="32"/>
          <w:szCs w:val="32"/>
        </w:rPr>
        <w:tab/>
      </w:r>
      <w:r>
        <w:rPr>
          <w:rFonts w:hint="default" w:ascii="Times New Roman" w:hAnsi="Times New Roman" w:eastAsia="仿宋_GB2312" w:cs="Times New Roman"/>
          <w:kern w:val="0"/>
          <w:sz w:val="32"/>
          <w:szCs w:val="32"/>
        </w:rPr>
        <w:tab/>
      </w:r>
      <w:r>
        <w:rPr>
          <w:rFonts w:hint="default" w:ascii="Times New Roman" w:hAnsi="Times New Roman" w:eastAsia="仿宋_GB2312" w:cs="Times New Roman"/>
          <w:kern w:val="0"/>
          <w:sz w:val="32"/>
          <w:szCs w:val="32"/>
        </w:rPr>
        <w:t xml:space="preserve">        其中，申请财政资金：</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项目概况：</w:t>
      </w:r>
    </w:p>
    <w:p>
      <w:pPr>
        <w:spacing w:line="560" w:lineRule="exact"/>
        <w:ind w:firstLine="640" w:firstLineChars="200"/>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二、评估方式和方法</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（一）评估程序。</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（二）论证思路及方法。</w:t>
      </w:r>
    </w:p>
    <w:p>
      <w:pPr>
        <w:spacing w:line="560" w:lineRule="exact"/>
        <w:ind w:firstLine="640" w:firstLineChars="200"/>
        <w:rPr>
          <w:rFonts w:hint="default" w:ascii="Times New Roman" w:hAnsi="Times New Roman" w:eastAsia="楷体" w:cs="Times New Roman"/>
          <w:bCs/>
          <w:kern w:val="0"/>
          <w:sz w:val="32"/>
          <w:szCs w:val="32"/>
        </w:rPr>
      </w:pPr>
      <w:r>
        <w:rPr>
          <w:rFonts w:hint="default" w:ascii="Times New Roman" w:hAnsi="Times New Roman" w:eastAsia="仿宋_GB2312" w:cs="Times New Roman"/>
          <w:kern w:val="0"/>
          <w:sz w:val="32"/>
          <w:szCs w:val="32"/>
        </w:rPr>
        <w:t>（三）评估方式（含专家名单）。</w:t>
      </w:r>
    </w:p>
    <w:p>
      <w:pPr>
        <w:spacing w:line="560" w:lineRule="exact"/>
        <w:ind w:firstLine="640" w:firstLineChars="200"/>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三、评估内容</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（一）项目实施的必要性。</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（二）项目实施的可行性。</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（三）预算的合理性。</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（四）预期绩效的可实现性和可持续性。</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（五）投入的经济性。</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（六）筹资的合规性。</w:t>
      </w:r>
    </w:p>
    <w:p>
      <w:pPr>
        <w:spacing w:line="560" w:lineRule="exact"/>
        <w:ind w:firstLine="640" w:firstLineChars="200"/>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四、评估结论与相关建议</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（一）评估总体结论</w:t>
      </w:r>
    </w:p>
    <w:p>
      <w:pPr>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（二）评估相关建议</w:t>
      </w:r>
    </w:p>
    <w:p>
      <w:pPr>
        <w:spacing w:line="560" w:lineRule="exact"/>
        <w:ind w:firstLine="640" w:firstLineChars="200"/>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五、其他需要说明的问题</w:t>
      </w:r>
    </w:p>
    <w:p>
      <w:pPr>
        <w:pStyle w:val="4"/>
        <w:spacing w:before="0" w:beforeAutospacing="0" w:after="0" w:afterAutospacing="0" w:line="56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阐述评估工作基本前提、假设、报告适用范围、相关责任以及需要说明的其他问题等。</w:t>
      </w:r>
    </w:p>
    <w:p>
      <w:pPr>
        <w:pStyle w:val="4"/>
        <w:spacing w:before="0" w:beforeAutospacing="0" w:after="0" w:afterAutospacing="0" w:line="560" w:lineRule="exact"/>
        <w:jc w:val="both"/>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 xml:space="preserve">   </w:t>
      </w:r>
      <w:r>
        <w:rPr>
          <w:rFonts w:hint="eastAsia" w:ascii="黑体" w:hAnsi="黑体" w:eastAsia="黑体" w:cs="黑体"/>
          <w:sz w:val="32"/>
          <w:szCs w:val="32"/>
        </w:rPr>
        <w:t xml:space="preserve"> 六、相关表格及报告（详见附件1-3-1至1-3-3）</w:t>
      </w:r>
    </w:p>
    <w:p>
      <w:pPr>
        <w:pStyle w:val="4"/>
        <w:spacing w:before="0" w:beforeAutospacing="0" w:after="0" w:afterAutospacing="0" w:line="56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pPr>
        <w:pStyle w:val="4"/>
        <w:spacing w:before="0" w:beforeAutospacing="0" w:after="0" w:afterAutospacing="0" w:line="560" w:lineRule="exact"/>
        <w:ind w:firstLine="640" w:firstLineChars="200"/>
        <w:jc w:val="both"/>
        <w:rPr>
          <w:rFonts w:hint="eastAsia" w:ascii="仿宋" w:hAnsi="仿宋" w:eastAsia="仿宋" w:cs="仿宋"/>
          <w:sz w:val="32"/>
          <w:szCs w:val="32"/>
        </w:rPr>
      </w:pPr>
      <w:r>
        <w:rPr>
          <w:rFonts w:hint="default" w:ascii="Times New Roman" w:hAnsi="Times New Roman" w:eastAsia="仿宋_GB2312" w:cs="Times New Roman"/>
          <w:sz w:val="32"/>
          <w:szCs w:val="32"/>
        </w:rPr>
        <w:t>附件</w:t>
      </w:r>
      <w:r>
        <w:rPr>
          <w:rFonts w:hint="eastAsia" w:ascii="仿宋" w:hAnsi="仿宋" w:eastAsia="仿宋" w:cs="仿宋"/>
          <w:sz w:val="32"/>
          <w:szCs w:val="32"/>
        </w:rPr>
        <w:t>：1-3-1.事前绩效评估项目（政策）绩效目标申报表</w:t>
      </w:r>
    </w:p>
    <w:p>
      <w:pPr>
        <w:adjustRightInd w:val="0"/>
        <w:snapToGrid w:val="0"/>
        <w:spacing w:line="560" w:lineRule="exact"/>
        <w:ind w:firstLine="1600" w:firstLineChars="500"/>
        <w:rPr>
          <w:rFonts w:hint="eastAsia" w:ascii="仿宋" w:hAnsi="仿宋" w:eastAsia="仿宋" w:cs="仿宋"/>
          <w:kern w:val="0"/>
          <w:sz w:val="32"/>
          <w:szCs w:val="32"/>
        </w:rPr>
      </w:pPr>
      <w:r>
        <w:rPr>
          <w:rFonts w:hint="eastAsia" w:ascii="仿宋" w:hAnsi="仿宋" w:eastAsia="仿宋" w:cs="仿宋"/>
          <w:kern w:val="0"/>
          <w:sz w:val="32"/>
          <w:szCs w:val="32"/>
        </w:rPr>
        <w:t>1-3-2.事前绩效评估项目（政策）预期绩效与管控</w:t>
      </w:r>
    </w:p>
    <w:p>
      <w:pPr>
        <w:adjustRightInd w:val="0"/>
        <w:snapToGrid w:val="0"/>
        <w:spacing w:line="560" w:lineRule="exact"/>
        <w:ind w:firstLine="2560" w:firstLineChars="800"/>
        <w:rPr>
          <w:rFonts w:hint="eastAsia" w:ascii="仿宋" w:hAnsi="仿宋" w:eastAsia="仿宋" w:cs="仿宋"/>
          <w:kern w:val="0"/>
          <w:sz w:val="32"/>
          <w:szCs w:val="32"/>
        </w:rPr>
      </w:pPr>
      <w:r>
        <w:rPr>
          <w:rFonts w:hint="eastAsia" w:ascii="仿宋" w:hAnsi="仿宋" w:eastAsia="仿宋" w:cs="仿宋"/>
          <w:kern w:val="0"/>
          <w:sz w:val="32"/>
          <w:szCs w:val="32"/>
        </w:rPr>
        <w:t>措施申报表</w:t>
      </w:r>
    </w:p>
    <w:p>
      <w:pPr>
        <w:adjustRightInd w:val="0"/>
        <w:snapToGrid w:val="0"/>
        <w:spacing w:line="560" w:lineRule="exact"/>
        <w:ind w:left="2556" w:leftChars="760" w:hanging="960" w:hangingChars="300"/>
        <w:rPr>
          <w:rFonts w:hint="eastAsia" w:ascii="仿宋" w:hAnsi="仿宋" w:eastAsia="仿宋" w:cs="仿宋"/>
          <w:kern w:val="0"/>
          <w:sz w:val="32"/>
          <w:szCs w:val="32"/>
        </w:rPr>
      </w:pPr>
      <w:r>
        <w:rPr>
          <w:rFonts w:hint="eastAsia" w:ascii="仿宋" w:hAnsi="仿宋" w:eastAsia="仿宋" w:cs="仿宋"/>
          <w:kern w:val="0"/>
          <w:sz w:val="32"/>
          <w:szCs w:val="32"/>
        </w:rPr>
        <w:t>1-3-3.事前绩效评估项目（政策）预期绩效报告（仅在委托第三方机构开展事前绩效评估工作时使用）</w:t>
      </w:r>
    </w:p>
    <w:p>
      <w:pPr>
        <w:adjustRightInd w:val="0"/>
        <w:snapToGrid w:val="0"/>
        <w:spacing w:line="560" w:lineRule="exact"/>
        <w:rPr>
          <w:rFonts w:hint="eastAsia" w:ascii="仿宋" w:hAnsi="仿宋" w:eastAsia="仿宋" w:cs="仿宋"/>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adjustRightInd w:val="0"/>
        <w:snapToGrid w:val="0"/>
        <w:spacing w:line="560" w:lineRule="exact"/>
        <w:rPr>
          <w:rFonts w:hint="default" w:ascii="Times New Roman" w:hAnsi="Times New Roman" w:eastAsia="仿宋_GB2312" w:cs="Times New Roman"/>
          <w:bCs/>
          <w:sz w:val="32"/>
          <w:szCs w:val="32"/>
        </w:rPr>
      </w:pPr>
    </w:p>
    <w:p>
      <w:pPr>
        <w:widowControl/>
        <w:spacing w:line="520" w:lineRule="exact"/>
        <w:rPr>
          <w:rFonts w:hint="eastAsia" w:ascii="黑体" w:hAnsi="黑体" w:eastAsia="黑体" w:cs="黑体"/>
          <w:kern w:val="0"/>
          <w:sz w:val="32"/>
          <w:szCs w:val="32"/>
        </w:rPr>
      </w:pPr>
      <w:r>
        <w:rPr>
          <w:rFonts w:hint="eastAsia" w:ascii="黑体" w:hAnsi="黑体" w:eastAsia="黑体" w:cs="黑体"/>
          <w:kern w:val="0"/>
          <w:sz w:val="32"/>
          <w:szCs w:val="32"/>
        </w:rPr>
        <w:t>附件1-3-1</w:t>
      </w:r>
    </w:p>
    <w:p>
      <w:pPr>
        <w:adjustRightInd w:val="0"/>
        <w:snapToGrid w:val="0"/>
        <w:spacing w:line="520" w:lineRule="exact"/>
        <w:jc w:val="center"/>
        <w:rPr>
          <w:rFonts w:hint="default" w:ascii="Times New Roman" w:hAnsi="Times New Roman" w:cs="Times New Roman"/>
          <w:b/>
          <w:bCs/>
          <w:kern w:val="0"/>
          <w:sz w:val="24"/>
          <w:szCs w:val="24"/>
        </w:rPr>
      </w:pPr>
      <w:r>
        <w:rPr>
          <w:rFonts w:hint="default" w:ascii="Times New Roman" w:hAnsi="Times New Roman" w:cs="Times New Roman"/>
          <w:b/>
          <w:bCs/>
          <w:kern w:val="0"/>
          <w:sz w:val="24"/>
          <w:szCs w:val="24"/>
        </w:rPr>
        <w:t>事前绩效评估项目（政策）绩效目标申报表</w:t>
      </w:r>
    </w:p>
    <w:p>
      <w:pPr>
        <w:adjustRightInd w:val="0"/>
        <w:snapToGrid w:val="0"/>
        <w:spacing w:line="360" w:lineRule="exact"/>
        <w:jc w:val="center"/>
        <w:rPr>
          <w:rFonts w:hint="eastAsia" w:asciiTheme="minorEastAsia" w:hAnsiTheme="minorEastAsia" w:eastAsiaTheme="minorEastAsia" w:cstheme="minorEastAsia"/>
          <w:b/>
          <w:bCs/>
          <w:kern w:val="0"/>
          <w:sz w:val="18"/>
          <w:szCs w:val="18"/>
        </w:rPr>
      </w:pPr>
      <w:r>
        <w:rPr>
          <w:rFonts w:hint="eastAsia" w:asciiTheme="minorEastAsia" w:hAnsiTheme="minorEastAsia" w:eastAsiaTheme="minorEastAsia" w:cstheme="minorEastAsia"/>
          <w:kern w:val="0"/>
          <w:sz w:val="18"/>
          <w:szCs w:val="18"/>
        </w:rPr>
        <w:t>（XX年度）</w:t>
      </w:r>
    </w:p>
    <w:tbl>
      <w:tblPr>
        <w:tblStyle w:val="9"/>
        <w:tblpPr w:leftFromText="180" w:rightFromText="180" w:vertAnchor="text" w:horzAnchor="page" w:tblpX="1187" w:tblpY="353"/>
        <w:tblOverlap w:val="never"/>
        <w:tblW w:w="9619" w:type="dxa"/>
        <w:tblInd w:w="0" w:type="dxa"/>
        <w:tblLayout w:type="fixed"/>
        <w:tblCellMar>
          <w:top w:w="0" w:type="dxa"/>
          <w:left w:w="108" w:type="dxa"/>
          <w:bottom w:w="0" w:type="dxa"/>
          <w:right w:w="108" w:type="dxa"/>
        </w:tblCellMar>
      </w:tblPr>
      <w:tblGrid>
        <w:gridCol w:w="452"/>
        <w:gridCol w:w="384"/>
        <w:gridCol w:w="569"/>
        <w:gridCol w:w="640"/>
        <w:gridCol w:w="407"/>
        <w:gridCol w:w="833"/>
        <w:gridCol w:w="1051"/>
        <w:gridCol w:w="833"/>
        <w:gridCol w:w="6"/>
        <w:gridCol w:w="1400"/>
        <w:gridCol w:w="1049"/>
        <w:gridCol w:w="341"/>
        <w:gridCol w:w="804"/>
        <w:gridCol w:w="850"/>
      </w:tblGrid>
      <w:tr>
        <w:tblPrEx>
          <w:tblLayout w:type="fixed"/>
          <w:tblCellMar>
            <w:top w:w="0" w:type="dxa"/>
            <w:left w:w="108" w:type="dxa"/>
            <w:bottom w:w="0" w:type="dxa"/>
            <w:right w:w="108" w:type="dxa"/>
          </w:tblCellMar>
        </w:tblPrEx>
        <w:trPr>
          <w:trHeight w:val="340" w:hRule="exact"/>
          <w:tblHeader/>
        </w:trPr>
        <w:tc>
          <w:tcPr>
            <w:tcW w:w="2452" w:type="dxa"/>
            <w:gridSpan w:val="5"/>
            <w:vMerge w:val="restart"/>
            <w:tcBorders>
              <w:top w:val="single" w:color="auto" w:sz="4" w:space="0"/>
              <w:left w:val="single" w:color="auto" w:sz="4" w:space="0"/>
              <w:right w:val="single" w:color="auto" w:sz="4" w:space="0"/>
            </w:tcBorders>
            <w:vAlign w:val="center"/>
          </w:tcPr>
          <w:p>
            <w:pPr>
              <w:widowControl/>
              <w:jc w:val="both"/>
              <w:rPr>
                <w:rFonts w:hint="eastAsia" w:asciiTheme="minorEastAsia" w:hAnsiTheme="minorEastAsia" w:eastAsiaTheme="minorEastAsia" w:cstheme="minorEastAsia"/>
                <w:kern w:val="0"/>
                <w:sz w:val="18"/>
                <w:szCs w:val="18"/>
              </w:rPr>
            </w:pPr>
          </w:p>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项目（政策，下同）名称</w:t>
            </w:r>
          </w:p>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　</w:t>
            </w:r>
          </w:p>
        </w:tc>
        <w:tc>
          <w:tcPr>
            <w:tcW w:w="2723" w:type="dxa"/>
            <w:gridSpan w:val="4"/>
            <w:vMerge w:val="restart"/>
            <w:tcBorders>
              <w:top w:val="single" w:color="auto" w:sz="4" w:space="0"/>
              <w:left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c>
          <w:tcPr>
            <w:tcW w:w="2449"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主管部门</w:t>
            </w:r>
          </w:p>
        </w:tc>
        <w:tc>
          <w:tcPr>
            <w:tcW w:w="1995"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2452" w:type="dxa"/>
            <w:gridSpan w:val="5"/>
            <w:vMerge w:val="continue"/>
            <w:tcBorders>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c>
          <w:tcPr>
            <w:tcW w:w="2723" w:type="dxa"/>
            <w:gridSpan w:val="4"/>
            <w:vMerge w:val="continue"/>
            <w:tcBorders>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c>
          <w:tcPr>
            <w:tcW w:w="2449"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单位名称</w:t>
            </w:r>
          </w:p>
        </w:tc>
        <w:tc>
          <w:tcPr>
            <w:tcW w:w="1995"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600" w:hRule="exact"/>
          <w:tblHeader/>
        </w:trPr>
        <w:tc>
          <w:tcPr>
            <w:tcW w:w="1405"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项目预算</w:t>
            </w:r>
          </w:p>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资金（万元）</w:t>
            </w:r>
          </w:p>
        </w:tc>
        <w:tc>
          <w:tcPr>
            <w:tcW w:w="1047"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实施期</w:t>
            </w:r>
          </w:p>
          <w:p>
            <w:pPr>
              <w:widowControl/>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资金总额</w:t>
            </w:r>
          </w:p>
        </w:tc>
        <w:tc>
          <w:tcPr>
            <w:tcW w:w="271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　</w:t>
            </w:r>
          </w:p>
        </w:tc>
        <w:tc>
          <w:tcPr>
            <w:tcW w:w="2455"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年度资金总额</w:t>
            </w:r>
          </w:p>
        </w:tc>
        <w:tc>
          <w:tcPr>
            <w:tcW w:w="1995"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　</w:t>
            </w:r>
          </w:p>
        </w:tc>
      </w:tr>
      <w:tr>
        <w:tblPrEx>
          <w:tblLayout w:type="fixed"/>
          <w:tblCellMar>
            <w:top w:w="0" w:type="dxa"/>
            <w:left w:w="108" w:type="dxa"/>
            <w:bottom w:w="0" w:type="dxa"/>
            <w:right w:w="108" w:type="dxa"/>
          </w:tblCellMar>
        </w:tblPrEx>
        <w:trPr>
          <w:trHeight w:val="340" w:hRule="exact"/>
          <w:tblHeader/>
        </w:trPr>
        <w:tc>
          <w:tcPr>
            <w:tcW w:w="4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绩效</w:t>
            </w:r>
            <w:r>
              <w:rPr>
                <w:rFonts w:hint="eastAsia" w:asciiTheme="minorEastAsia" w:hAnsiTheme="minorEastAsia" w:eastAsiaTheme="minorEastAsia" w:cstheme="minorEastAsia"/>
                <w:kern w:val="0"/>
                <w:sz w:val="18"/>
                <w:szCs w:val="18"/>
              </w:rPr>
              <w:br w:type="textWrapping"/>
            </w:r>
            <w:r>
              <w:rPr>
                <w:rFonts w:hint="eastAsia" w:asciiTheme="minorEastAsia" w:hAnsiTheme="minorEastAsia" w:eastAsiaTheme="minorEastAsia" w:cstheme="minorEastAsia"/>
                <w:kern w:val="0"/>
                <w:sz w:val="18"/>
                <w:szCs w:val="18"/>
              </w:rPr>
              <w:t>目</w:t>
            </w:r>
            <w:r>
              <w:rPr>
                <w:rFonts w:hint="eastAsia" w:asciiTheme="minorEastAsia" w:hAnsiTheme="minorEastAsia" w:eastAsiaTheme="minorEastAsia" w:cstheme="minorEastAsia"/>
                <w:kern w:val="0"/>
                <w:sz w:val="18"/>
                <w:szCs w:val="18"/>
              </w:rPr>
              <w:br w:type="textWrapping"/>
            </w:r>
            <w:r>
              <w:rPr>
                <w:rFonts w:hint="eastAsia" w:asciiTheme="minorEastAsia" w:hAnsiTheme="minorEastAsia" w:eastAsiaTheme="minorEastAsia" w:cstheme="minorEastAsia"/>
                <w:kern w:val="0"/>
                <w:sz w:val="18"/>
                <w:szCs w:val="18"/>
              </w:rPr>
              <w:t>标</w:t>
            </w:r>
          </w:p>
        </w:tc>
        <w:tc>
          <w:tcPr>
            <w:tcW w:w="4717"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实施期目标</w:t>
            </w:r>
          </w:p>
        </w:tc>
        <w:tc>
          <w:tcPr>
            <w:tcW w:w="4450" w:type="dxa"/>
            <w:gridSpan w:val="6"/>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年度目标</w:t>
            </w:r>
          </w:p>
        </w:tc>
      </w:tr>
      <w:tr>
        <w:tblPrEx>
          <w:tblLayout w:type="fixed"/>
          <w:tblCellMar>
            <w:top w:w="0" w:type="dxa"/>
            <w:left w:w="108" w:type="dxa"/>
            <w:bottom w:w="0" w:type="dxa"/>
            <w:right w:w="108" w:type="dxa"/>
          </w:tblCellMar>
        </w:tblPrEx>
        <w:trPr>
          <w:trHeight w:val="340" w:hRule="exact"/>
          <w:tblHeader/>
        </w:trPr>
        <w:tc>
          <w:tcPr>
            <w:tcW w:w="4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heme="minorEastAsia" w:hAnsiTheme="minorEastAsia" w:eastAsiaTheme="minorEastAsia" w:cstheme="minorEastAsia"/>
                <w:kern w:val="0"/>
                <w:sz w:val="18"/>
                <w:szCs w:val="18"/>
              </w:rPr>
            </w:pPr>
          </w:p>
        </w:tc>
        <w:tc>
          <w:tcPr>
            <w:tcW w:w="4717" w:type="dxa"/>
            <w:gridSpan w:val="7"/>
            <w:tcBorders>
              <w:top w:val="single" w:color="auto" w:sz="4" w:space="0"/>
              <w:left w:val="single" w:color="auto" w:sz="4" w:space="0"/>
              <w:bottom w:val="single" w:color="auto" w:sz="4" w:space="0"/>
              <w:right w:val="single" w:color="auto" w:sz="4" w:space="0"/>
            </w:tcBorders>
            <w:vAlign w:val="top"/>
          </w:tcPr>
          <w:p>
            <w:pPr>
              <w:widowControl/>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目标1：</w:t>
            </w:r>
          </w:p>
        </w:tc>
        <w:tc>
          <w:tcPr>
            <w:tcW w:w="4450" w:type="dxa"/>
            <w:gridSpan w:val="6"/>
            <w:tcBorders>
              <w:top w:val="single" w:color="auto" w:sz="4" w:space="0"/>
              <w:left w:val="single" w:color="auto" w:sz="4" w:space="0"/>
              <w:bottom w:val="single" w:color="auto" w:sz="4" w:space="0"/>
              <w:right w:val="single" w:color="auto" w:sz="4" w:space="0"/>
            </w:tcBorders>
            <w:vAlign w:val="top"/>
          </w:tcPr>
          <w:p>
            <w:pPr>
              <w:widowControl/>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目标1：</w:t>
            </w:r>
          </w:p>
        </w:tc>
      </w:tr>
      <w:tr>
        <w:tblPrEx>
          <w:tblLayout w:type="fixed"/>
          <w:tblCellMar>
            <w:top w:w="0" w:type="dxa"/>
            <w:left w:w="108" w:type="dxa"/>
            <w:bottom w:w="0" w:type="dxa"/>
            <w:right w:w="108" w:type="dxa"/>
          </w:tblCellMar>
        </w:tblPrEx>
        <w:trPr>
          <w:trHeight w:val="500" w:hRule="exact"/>
          <w:tblHeader/>
        </w:trPr>
        <w:tc>
          <w:tcPr>
            <w:tcW w:w="4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heme="minorEastAsia" w:hAnsiTheme="minorEastAsia" w:eastAsiaTheme="minorEastAsia" w:cstheme="minorEastAsia"/>
                <w:kern w:val="0"/>
                <w:sz w:val="18"/>
                <w:szCs w:val="18"/>
              </w:rPr>
            </w:pPr>
          </w:p>
        </w:tc>
        <w:tc>
          <w:tcPr>
            <w:tcW w:w="4717" w:type="dxa"/>
            <w:gridSpan w:val="7"/>
            <w:tcBorders>
              <w:top w:val="single" w:color="auto" w:sz="4" w:space="0"/>
              <w:left w:val="single" w:color="auto" w:sz="4" w:space="0"/>
              <w:bottom w:val="single" w:color="auto" w:sz="4" w:space="0"/>
              <w:right w:val="single" w:color="auto" w:sz="4" w:space="0"/>
            </w:tcBorders>
            <w:vAlign w:val="top"/>
          </w:tcPr>
          <w:p>
            <w:pPr>
              <w:widowControl/>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4450" w:type="dxa"/>
            <w:gridSpan w:val="6"/>
            <w:tcBorders>
              <w:top w:val="single" w:color="auto" w:sz="4" w:space="0"/>
              <w:left w:val="single" w:color="auto" w:sz="4" w:space="0"/>
              <w:bottom w:val="single" w:color="auto" w:sz="4" w:space="0"/>
              <w:right w:val="single" w:color="auto" w:sz="4" w:space="0"/>
            </w:tcBorders>
            <w:vAlign w:val="top"/>
          </w:tcPr>
          <w:p>
            <w:pPr>
              <w:widowControl/>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r>
      <w:tr>
        <w:tblPrEx>
          <w:tblLayout w:type="fixed"/>
          <w:tblCellMar>
            <w:top w:w="0" w:type="dxa"/>
            <w:left w:w="108" w:type="dxa"/>
            <w:bottom w:w="0" w:type="dxa"/>
            <w:right w:w="108" w:type="dxa"/>
          </w:tblCellMar>
        </w:tblPrEx>
        <w:trPr>
          <w:trHeight w:val="480" w:hRule="atLeast"/>
          <w:tblHeader/>
        </w:trPr>
        <w:tc>
          <w:tcPr>
            <w:tcW w:w="452" w:type="dxa"/>
            <w:vMerge w:val="restart"/>
            <w:tcBorders>
              <w:top w:val="single" w:color="auto" w:sz="4" w:space="0"/>
              <w:left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p>
            <w:pPr>
              <w:widowControl/>
              <w:jc w:val="center"/>
              <w:rPr>
                <w:rFonts w:hint="eastAsia" w:asciiTheme="minorEastAsia" w:hAnsiTheme="minorEastAsia" w:eastAsiaTheme="minorEastAsia" w:cstheme="minorEastAsia"/>
                <w:kern w:val="0"/>
                <w:sz w:val="18"/>
                <w:szCs w:val="18"/>
              </w:rPr>
            </w:pPr>
          </w:p>
          <w:p>
            <w:pPr>
              <w:widowControl/>
              <w:jc w:val="center"/>
              <w:rPr>
                <w:rFonts w:hint="eastAsia" w:asciiTheme="minorEastAsia" w:hAnsiTheme="minorEastAsia" w:eastAsiaTheme="minorEastAsia" w:cstheme="minorEastAsia"/>
                <w:kern w:val="0"/>
                <w:sz w:val="18"/>
                <w:szCs w:val="18"/>
              </w:rPr>
            </w:pPr>
          </w:p>
          <w:p>
            <w:pPr>
              <w:widowControl/>
              <w:jc w:val="center"/>
              <w:rPr>
                <w:rFonts w:hint="eastAsia" w:asciiTheme="minorEastAsia" w:hAnsiTheme="minorEastAsia" w:eastAsiaTheme="minorEastAsia" w:cstheme="minorEastAsia"/>
                <w:kern w:val="0"/>
                <w:sz w:val="18"/>
                <w:szCs w:val="18"/>
              </w:rPr>
            </w:pPr>
          </w:p>
          <w:p>
            <w:pPr>
              <w:widowControl/>
              <w:jc w:val="center"/>
              <w:rPr>
                <w:rFonts w:hint="eastAsia" w:asciiTheme="minorEastAsia" w:hAnsiTheme="minorEastAsia" w:eastAsiaTheme="minorEastAsia" w:cstheme="minorEastAsia"/>
                <w:kern w:val="0"/>
                <w:sz w:val="18"/>
                <w:szCs w:val="18"/>
              </w:rPr>
            </w:pP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kern w:val="0"/>
                <w:sz w:val="18"/>
                <w:szCs w:val="18"/>
              </w:rPr>
              <w:t>绩</w:t>
            </w:r>
            <w:r>
              <w:rPr>
                <w:rFonts w:hint="eastAsia" w:asciiTheme="minorEastAsia" w:hAnsiTheme="minorEastAsia" w:eastAsiaTheme="minorEastAsia" w:cstheme="minorEastAsia"/>
                <w:kern w:val="0"/>
                <w:sz w:val="18"/>
                <w:szCs w:val="18"/>
              </w:rPr>
              <w:br w:type="textWrapping"/>
            </w:r>
            <w:r>
              <w:rPr>
                <w:rFonts w:hint="eastAsia" w:asciiTheme="minorEastAsia" w:hAnsiTheme="minorEastAsia" w:eastAsiaTheme="minorEastAsia" w:cstheme="minorEastAsia"/>
                <w:kern w:val="0"/>
                <w:sz w:val="18"/>
                <w:szCs w:val="18"/>
              </w:rPr>
              <w:t>效</w:t>
            </w:r>
            <w:r>
              <w:rPr>
                <w:rFonts w:hint="eastAsia" w:asciiTheme="minorEastAsia" w:hAnsiTheme="minorEastAsia" w:eastAsiaTheme="minorEastAsia" w:cstheme="minorEastAsia"/>
                <w:kern w:val="0"/>
                <w:sz w:val="18"/>
                <w:szCs w:val="18"/>
              </w:rPr>
              <w:br w:type="textWrapping"/>
            </w:r>
            <w:r>
              <w:rPr>
                <w:rFonts w:hint="eastAsia" w:asciiTheme="minorEastAsia" w:hAnsiTheme="minorEastAsia" w:eastAsiaTheme="minorEastAsia" w:cstheme="minorEastAsia"/>
                <w:kern w:val="0"/>
                <w:sz w:val="18"/>
                <w:szCs w:val="18"/>
              </w:rPr>
              <w:t>指</w:t>
            </w:r>
            <w:r>
              <w:rPr>
                <w:rFonts w:hint="eastAsia" w:asciiTheme="minorEastAsia" w:hAnsiTheme="minorEastAsia" w:eastAsiaTheme="minorEastAsia" w:cstheme="minorEastAsia"/>
                <w:kern w:val="0"/>
                <w:sz w:val="18"/>
                <w:szCs w:val="18"/>
              </w:rPr>
              <w:br w:type="textWrapping"/>
            </w:r>
            <w:r>
              <w:rPr>
                <w:rFonts w:hint="eastAsia" w:asciiTheme="minorEastAsia" w:hAnsiTheme="minorEastAsia" w:eastAsiaTheme="minorEastAsia" w:cstheme="minorEastAsia"/>
                <w:kern w:val="0"/>
                <w:sz w:val="18"/>
                <w:szCs w:val="18"/>
              </w:rPr>
              <w:t>标</w:t>
            </w: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widowControl/>
              <w:jc w:val="center"/>
              <w:rPr>
                <w:rFonts w:hint="eastAsia" w:asciiTheme="minorEastAsia" w:hAnsiTheme="minorEastAsia" w:eastAsiaTheme="minorEastAsia" w:cstheme="minorEastAsia"/>
                <w:kern w:val="0"/>
                <w:sz w:val="18"/>
                <w:szCs w:val="18"/>
              </w:rPr>
            </w:pPr>
          </w:p>
        </w:tc>
        <w:tc>
          <w:tcPr>
            <w:tcW w:w="38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一级指标</w:t>
            </w:r>
          </w:p>
        </w:tc>
        <w:tc>
          <w:tcPr>
            <w:tcW w:w="1209"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二级指标</w:t>
            </w:r>
          </w:p>
        </w:tc>
        <w:tc>
          <w:tcPr>
            <w:tcW w:w="12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三级</w:t>
            </w:r>
          </w:p>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w:t>
            </w:r>
          </w:p>
        </w:tc>
        <w:tc>
          <w:tcPr>
            <w:tcW w:w="105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实施期</w:t>
            </w:r>
          </w:p>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指标值</w:t>
            </w:r>
          </w:p>
        </w:tc>
        <w:tc>
          <w:tcPr>
            <w:tcW w:w="83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计划完成时限（X年X月）</w:t>
            </w:r>
          </w:p>
        </w:tc>
        <w:tc>
          <w:tcPr>
            <w:tcW w:w="14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二级指标</w:t>
            </w:r>
          </w:p>
        </w:tc>
        <w:tc>
          <w:tcPr>
            <w:tcW w:w="139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三级</w:t>
            </w:r>
          </w:p>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w:t>
            </w:r>
          </w:p>
        </w:tc>
        <w:tc>
          <w:tcPr>
            <w:tcW w:w="80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年度</w:t>
            </w:r>
          </w:p>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指标值</w:t>
            </w: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计划完成时限（X年X月）</w:t>
            </w: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p>
            <w:pPr>
              <w:widowControl/>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产出指标</w:t>
            </w: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rPr>
                <w:rFonts w:hint="eastAsia" w:asciiTheme="minorEastAsia" w:hAnsiTheme="minorEastAsia" w:eastAsiaTheme="minorEastAsia" w:cstheme="minorEastAsia"/>
                <w:sz w:val="18"/>
                <w:szCs w:val="18"/>
              </w:rPr>
            </w:pPr>
          </w:p>
          <w:p>
            <w:pPr>
              <w:widowControl/>
              <w:jc w:val="center"/>
              <w:rPr>
                <w:rFonts w:hint="eastAsia" w:asciiTheme="minorEastAsia" w:hAnsiTheme="minorEastAsia" w:eastAsiaTheme="minorEastAsia" w:cstheme="minorEastAsia"/>
                <w:kern w:val="0"/>
                <w:sz w:val="18"/>
                <w:szCs w:val="18"/>
              </w:rPr>
            </w:pPr>
          </w:p>
        </w:tc>
        <w:tc>
          <w:tcPr>
            <w:tcW w:w="12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数量指标</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数量指标</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质量指标</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质量指标</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时效指标</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时效指标</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240" w:type="dxa"/>
            <w:gridSpan w:val="2"/>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restart"/>
            <w:tcBorders>
              <w:top w:val="single" w:color="auto" w:sz="4" w:space="0"/>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成本指标</w:t>
            </w:r>
          </w:p>
        </w:tc>
        <w:tc>
          <w:tcPr>
            <w:tcW w:w="1240" w:type="dxa"/>
            <w:gridSpan w:val="2"/>
            <w:tcBorders>
              <w:top w:val="single" w:color="auto" w:sz="4" w:space="0"/>
              <w:left w:val="single" w:color="auto" w:sz="4" w:space="0"/>
              <w:bottom w:val="nil"/>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成本指标</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效</w:t>
            </w:r>
            <w:r>
              <w:rPr>
                <w:rFonts w:hint="eastAsia" w:asciiTheme="minorEastAsia" w:hAnsiTheme="minorEastAsia" w:eastAsiaTheme="minorEastAsia" w:cstheme="minorEastAsia"/>
                <w:kern w:val="0"/>
                <w:sz w:val="18"/>
                <w:szCs w:val="18"/>
              </w:rPr>
              <w:br w:type="textWrapping"/>
            </w:r>
            <w:r>
              <w:rPr>
                <w:rFonts w:hint="eastAsia" w:asciiTheme="minorEastAsia" w:hAnsiTheme="minorEastAsia" w:eastAsiaTheme="minorEastAsia" w:cstheme="minorEastAsia"/>
                <w:kern w:val="0"/>
                <w:sz w:val="18"/>
                <w:szCs w:val="18"/>
              </w:rPr>
              <w:t>益</w:t>
            </w:r>
            <w:r>
              <w:rPr>
                <w:rFonts w:hint="eastAsia" w:asciiTheme="minorEastAsia" w:hAnsiTheme="minorEastAsia" w:eastAsiaTheme="minorEastAsia" w:cstheme="minorEastAsia"/>
                <w:kern w:val="0"/>
                <w:sz w:val="18"/>
                <w:szCs w:val="18"/>
              </w:rPr>
              <w:br w:type="textWrapping"/>
            </w:r>
            <w:r>
              <w:rPr>
                <w:rFonts w:hint="eastAsia" w:asciiTheme="minorEastAsia" w:hAnsiTheme="minorEastAsia" w:eastAsiaTheme="minorEastAsia" w:cstheme="minorEastAsia"/>
                <w:kern w:val="0"/>
                <w:sz w:val="18"/>
                <w:szCs w:val="18"/>
              </w:rPr>
              <w:t>指</w:t>
            </w:r>
            <w:r>
              <w:rPr>
                <w:rFonts w:hint="eastAsia" w:asciiTheme="minorEastAsia" w:hAnsiTheme="minorEastAsia" w:eastAsiaTheme="minorEastAsia" w:cstheme="minorEastAsia"/>
                <w:kern w:val="0"/>
                <w:sz w:val="18"/>
                <w:szCs w:val="18"/>
              </w:rPr>
              <w:br w:type="textWrapping"/>
            </w:r>
            <w:r>
              <w:rPr>
                <w:rFonts w:hint="eastAsia" w:asciiTheme="minorEastAsia" w:hAnsiTheme="minorEastAsia" w:eastAsiaTheme="minorEastAsia" w:cstheme="minorEastAsia"/>
                <w:kern w:val="0"/>
                <w:sz w:val="18"/>
                <w:szCs w:val="18"/>
              </w:rPr>
              <w:t>标</w:t>
            </w:r>
          </w:p>
        </w:tc>
        <w:tc>
          <w:tcPr>
            <w:tcW w:w="12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经济效益指标</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经济效益指标</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社会效益指标</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社会效益指标</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生态效益</w:t>
            </w:r>
            <w:r>
              <w:rPr>
                <w:rFonts w:hint="eastAsia" w:asciiTheme="minorEastAsia" w:hAnsiTheme="minorEastAsia" w:eastAsiaTheme="minorEastAsia" w:cstheme="minorEastAsia"/>
                <w:kern w:val="0"/>
                <w:sz w:val="18"/>
                <w:szCs w:val="18"/>
              </w:rPr>
              <w:br w:type="textWrapping"/>
            </w:r>
            <w:r>
              <w:rPr>
                <w:rFonts w:hint="eastAsia" w:asciiTheme="minorEastAsia" w:hAnsiTheme="minorEastAsia" w:eastAsiaTheme="minorEastAsia" w:cstheme="minorEastAsia"/>
                <w:kern w:val="0"/>
                <w:sz w:val="18"/>
                <w:szCs w:val="18"/>
              </w:rPr>
              <w:t>指标</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生态效益指标</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可持续影响指标</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可持续影响指标</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restart"/>
            <w:tcBorders>
              <w:top w:val="single" w:color="auto" w:sz="4" w:space="0"/>
              <w:left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满意度指标</w:t>
            </w:r>
          </w:p>
        </w:tc>
        <w:tc>
          <w:tcPr>
            <w:tcW w:w="12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服务对象满意度指标</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服务对象满意度指标</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restart"/>
            <w:tcBorders>
              <w:top w:val="single" w:color="auto" w:sz="4" w:space="0"/>
              <w:left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社会公众满意度指标</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社会公众满意度指标</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指标1：</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left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r>
        <w:tblPrEx>
          <w:tblLayout w:type="fixed"/>
          <w:tblCellMar>
            <w:top w:w="0" w:type="dxa"/>
            <w:left w:w="108" w:type="dxa"/>
            <w:bottom w:w="0" w:type="dxa"/>
            <w:right w:w="108" w:type="dxa"/>
          </w:tblCellMar>
        </w:tblPrEx>
        <w:trPr>
          <w:trHeight w:val="340" w:hRule="exact"/>
          <w:tblHeader/>
        </w:trPr>
        <w:tc>
          <w:tcPr>
            <w:tcW w:w="452" w:type="dxa"/>
            <w:vMerge w:val="continue"/>
            <w:tcBorders>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384" w:type="dxa"/>
            <w:vMerge w:val="continue"/>
            <w:tcBorders>
              <w:left w:val="single" w:color="auto" w:sz="4" w:space="0"/>
              <w:bottom w:val="single" w:color="auto" w:sz="4" w:space="0"/>
              <w:right w:val="single" w:color="auto" w:sz="4" w:space="0"/>
            </w:tcBorders>
            <w:shd w:val="clear" w:color="auto" w:fill="auto"/>
            <w:vAlign w:val="center"/>
          </w:tcPr>
          <w:p>
            <w:pPr>
              <w:widowControl/>
              <w:jc w:val="left"/>
              <w:rPr>
                <w:rFonts w:hint="eastAsia" w:asciiTheme="minorEastAsia" w:hAnsiTheme="minorEastAsia" w:eastAsiaTheme="minorEastAsia" w:cstheme="minorEastAsia"/>
                <w:kern w:val="0"/>
                <w:sz w:val="18"/>
                <w:szCs w:val="18"/>
              </w:rPr>
            </w:pPr>
          </w:p>
        </w:tc>
        <w:tc>
          <w:tcPr>
            <w:tcW w:w="12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140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1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stheme="minorEastAsia"/>
                <w:kern w:val="0"/>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kern w:val="0"/>
                <w:sz w:val="18"/>
                <w:szCs w:val="18"/>
              </w:rPr>
            </w:pPr>
          </w:p>
        </w:tc>
      </w:tr>
    </w:tbl>
    <w:p>
      <w:pPr>
        <w:jc w:val="center"/>
        <w:rPr>
          <w:rFonts w:hint="default" w:ascii="Times New Roman" w:hAnsi="Times New Roman" w:cs="Times New Roman"/>
          <w:b/>
          <w:sz w:val="44"/>
          <w:szCs w:val="44"/>
        </w:rPr>
      </w:pPr>
      <w:r>
        <w:rPr>
          <w:rFonts w:hint="default" w:ascii="Times New Roman" w:hAnsi="Times New Roman" w:cs="Times New Roman"/>
          <w:b/>
          <w:sz w:val="44"/>
          <w:szCs w:val="44"/>
        </w:rPr>
        <w:t>填报说明</w:t>
      </w:r>
    </w:p>
    <w:p>
      <w:pPr>
        <w:rPr>
          <w:rFonts w:hint="default" w:ascii="Times New Roman" w:hAnsi="Times New Roman" w:cs="Times New Roman"/>
          <w:b/>
          <w:sz w:val="30"/>
          <w:szCs w:val="30"/>
        </w:rPr>
      </w:pPr>
    </w:p>
    <w:p>
      <w:pPr>
        <w:widowControl/>
        <w:adjustRightInd w:val="0"/>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1.实施期预算资金总额填写项目的实施期拟安排资金总额。金额以万元为单位,保留两位小数。</w:t>
      </w:r>
    </w:p>
    <w:p>
      <w:pPr>
        <w:ind w:firstLine="600"/>
        <w:rPr>
          <w:rFonts w:hint="eastAsia" w:ascii="仿宋" w:hAnsi="仿宋" w:eastAsia="仿宋" w:cs="仿宋"/>
          <w:kern w:val="0"/>
          <w:sz w:val="32"/>
          <w:szCs w:val="32"/>
        </w:rPr>
      </w:pPr>
      <w:r>
        <w:rPr>
          <w:rFonts w:hint="eastAsia" w:ascii="仿宋" w:hAnsi="仿宋" w:eastAsia="仿宋" w:cs="仿宋"/>
          <w:kern w:val="0"/>
          <w:sz w:val="32"/>
          <w:szCs w:val="32"/>
        </w:rPr>
        <w:t>2.年度预算资金总额填写预算所属年度申请预算资金总额。金额以万元为单位,保留两位小数。</w:t>
      </w:r>
    </w:p>
    <w:p>
      <w:pPr>
        <w:ind w:firstLine="600"/>
        <w:rPr>
          <w:rFonts w:hint="eastAsia" w:ascii="仿宋" w:hAnsi="仿宋" w:eastAsia="仿宋" w:cs="仿宋"/>
          <w:kern w:val="0"/>
          <w:sz w:val="32"/>
          <w:szCs w:val="32"/>
        </w:rPr>
      </w:pPr>
      <w:r>
        <w:rPr>
          <w:rFonts w:hint="eastAsia" w:ascii="仿宋" w:hAnsi="仿宋" w:eastAsia="仿宋" w:cs="仿宋"/>
          <w:kern w:val="0"/>
          <w:sz w:val="32"/>
          <w:szCs w:val="32"/>
        </w:rPr>
        <w:t>3.绩效目标描述通过部门预算安排的项目在实施期和预算年度内预期达到的产出和效果。</w:t>
      </w:r>
    </w:p>
    <w:p>
      <w:pPr>
        <w:spacing w:line="560" w:lineRule="exact"/>
        <w:ind w:firstLine="640" w:firstLineChars="200"/>
        <w:rPr>
          <w:rFonts w:hint="eastAsia" w:ascii="仿宋" w:hAnsi="仿宋" w:eastAsia="仿宋" w:cs="仿宋"/>
          <w:sz w:val="32"/>
          <w:szCs w:val="32"/>
        </w:rPr>
      </w:pPr>
      <w:r>
        <w:rPr>
          <w:rFonts w:hint="eastAsia" w:ascii="仿宋" w:hAnsi="仿宋" w:eastAsia="仿宋" w:cs="仿宋"/>
          <w:kern w:val="0"/>
          <w:sz w:val="32"/>
          <w:szCs w:val="32"/>
        </w:rPr>
        <w:t>4.绩效指标是对项目绩效目标的细化和量化，量化“指标值”的填报用数值描述，</w:t>
      </w:r>
      <w:r>
        <w:rPr>
          <w:rFonts w:hint="eastAsia" w:ascii="仿宋" w:hAnsi="仿宋" w:eastAsia="仿宋" w:cs="仿宋"/>
          <w:sz w:val="32"/>
          <w:szCs w:val="32"/>
        </w:rPr>
        <w:t>不可量化的</w:t>
      </w:r>
      <w:r>
        <w:rPr>
          <w:rFonts w:hint="eastAsia" w:ascii="仿宋" w:hAnsi="仿宋" w:eastAsia="仿宋" w:cs="仿宋"/>
          <w:color w:val="000000"/>
          <w:sz w:val="32"/>
          <w:szCs w:val="32"/>
        </w:rPr>
        <w:t>“指标值”</w:t>
      </w:r>
      <w:r>
        <w:rPr>
          <w:rFonts w:hint="eastAsia" w:ascii="仿宋" w:hAnsi="仿宋" w:eastAsia="仿宋" w:cs="仿宋"/>
          <w:sz w:val="32"/>
          <w:szCs w:val="32"/>
        </w:rPr>
        <w:t>进行定性描述。</w:t>
      </w:r>
    </w:p>
    <w:p>
      <w:pPr>
        <w:widowControl/>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绩效指标一般包括产出指标、效益指标、满意度指标等一级指标：</w:t>
      </w:r>
    </w:p>
    <w:p>
      <w:pPr>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（1）产出指标反映根据既定目标，相关预算资金预期提供的公共产品和服务情况。产出指标可进一步细化为数量指标、质量指标、时效指标、成本指标等二级指标：</w:t>
      </w:r>
    </w:p>
    <w:p>
      <w:pPr>
        <w:widowControl/>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①数量指标反映预期提供的公共产品和服务数量，可根据实际细化为具体三级指标，如“务工农民岗位技能培训人数”、“公共租赁住房保障户数”等；</w:t>
      </w:r>
    </w:p>
    <w:p>
      <w:pPr>
        <w:widowControl/>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②质量指标反映预期提供的公共产品和服务达到的标准、水平和效果，可根据实际细化为具体三级指标，如“培训合格率”、“公共租赁住房建设验收通过率”等；</w:t>
      </w:r>
    </w:p>
    <w:p>
      <w:pPr>
        <w:widowControl/>
        <w:spacing w:line="560" w:lineRule="exact"/>
        <w:ind w:firstLine="640" w:firstLineChars="200"/>
        <w:jc w:val="left"/>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③时效指标反映预期提供公共产品和服务的及时程度和效率情况，可根据实际细化为具体三级指标，如“培训完成时间”、“补贴发放时间”等。</w:t>
      </w:r>
    </w:p>
    <w:p>
      <w:pPr>
        <w:widowControl/>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④成本指标反映预期提供公共产品和服务所需成本的控制情况，可根据实际细化为具体三级指标，如“人均培训成本”、“和社会平均成本的比较”等；</w:t>
      </w:r>
    </w:p>
    <w:p>
      <w:pPr>
        <w:widowControl/>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（2）效益指标反映与既定绩效目标相关的、前述相关产出所带来的预期效果的实现程度。效益指标可进一步细化为经济效益指标、社会效益指标、生态效益指标、可持续影响指标等二级指标：</w:t>
      </w:r>
    </w:p>
    <w:p>
      <w:pPr>
        <w:widowControl/>
        <w:spacing w:line="560" w:lineRule="exact"/>
        <w:ind w:firstLine="640" w:firstLineChars="200"/>
        <w:jc w:val="left"/>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①经济效益指标反映相关产出对经济发展带来的影响和效果，可根据实际细化为具体三级指标，如“促进农民增收率或增收额”、“采用先进技术带来的实际收入增长率”等；</w:t>
      </w:r>
    </w:p>
    <w:p>
      <w:pPr>
        <w:widowControl/>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②社会效益指标，反映相关产出对社会发展带来的影响和效果，可根据实际细化为具体三级指标，如“带动就业增长率”、“低收入家庭居住条件改善情况”等；</w:t>
      </w:r>
    </w:p>
    <w:p>
      <w:pPr>
        <w:widowControl/>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③生态效益指标，反映相关产出对生态环境带来的影响和效果，可根据实际细化为具体三级指标，如“空气质量优良率”、“万元</w:t>
      </w:r>
      <w:r>
        <w:rPr>
          <w:rFonts w:hint="eastAsia" w:ascii="仿宋" w:hAnsi="仿宋" w:eastAsia="仿宋" w:cs="仿宋"/>
          <w:kern w:val="0"/>
          <w:sz w:val="32"/>
          <w:szCs w:val="32"/>
        </w:rPr>
        <w:t>GDP</w:t>
      </w:r>
      <w:r>
        <w:rPr>
          <w:rFonts w:hint="default" w:ascii="Times New Roman" w:hAnsi="Times New Roman" w:eastAsia="仿宋_GB2312" w:cs="Times New Roman"/>
          <w:kern w:val="0"/>
          <w:sz w:val="32"/>
          <w:szCs w:val="32"/>
        </w:rPr>
        <w:t>能耗下降率”等；</w:t>
      </w:r>
    </w:p>
    <w:p>
      <w:pPr>
        <w:widowControl/>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④可持续影响指标，反映相关产出带来影响的可持续期限，可根据实际细化为具体三级指标，如“项目持续发挥作用的期限”、“对本行业未来可持续发展的影响”等。</w:t>
      </w:r>
    </w:p>
    <w:p>
      <w:pPr>
        <w:widowControl/>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（3）满意度指标属于预期效果的内容，反映服务对象或受益人对相关产出及其影响的认可程度。满意度指标可进一步细化为服务对象满意度指标、社会公众满意度指标等二级指标：</w:t>
      </w:r>
    </w:p>
    <w:p>
      <w:pPr>
        <w:widowControl/>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①服务对象满意度指标反映服务对象或受益人对相关产出及其影响的认可程度，可根据实际细化为具体的三级指标，如“参加培训人员的满意度”、“基层群众对××工作的满意度”、“社会公众投诉率/投诉次数”等；</w:t>
      </w:r>
    </w:p>
    <w:p>
      <w:pPr>
        <w:widowControl/>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②社会公众满意度指标反映社会公众对相关产出及其影响的认可程度，可根据实际细化为具体的三级指标，如“参加应急救援培训的社区居民满意度”、“社会公众投诉率/投诉次数”等。</w:t>
      </w:r>
    </w:p>
    <w:p>
      <w:pPr>
        <w:widowControl/>
        <w:ind w:firstLine="0" w:firstLineChars="0"/>
        <w:rPr>
          <w:rFonts w:hint="default" w:ascii="Times New Roman" w:hAnsi="Times New Roman" w:eastAsia="仿宋_GB2312" w:cs="Times New Roman"/>
          <w:kern w:val="0"/>
          <w:sz w:val="32"/>
          <w:szCs w:val="32"/>
        </w:rPr>
      </w:pPr>
    </w:p>
    <w:p>
      <w:pPr>
        <w:widowControl/>
        <w:ind w:firstLine="0" w:firstLineChars="0"/>
        <w:rPr>
          <w:rFonts w:hint="default" w:ascii="Times New Roman" w:hAnsi="Times New Roman" w:eastAsia="仿宋_GB2312" w:cs="Times New Roman"/>
          <w:kern w:val="0"/>
          <w:sz w:val="32"/>
          <w:szCs w:val="32"/>
        </w:rPr>
      </w:pPr>
    </w:p>
    <w:p>
      <w:pPr>
        <w:widowControl/>
        <w:ind w:firstLine="0" w:firstLineChars="0"/>
        <w:rPr>
          <w:rFonts w:hint="default" w:ascii="Times New Roman" w:hAnsi="Times New Roman" w:eastAsia="仿宋_GB2312" w:cs="Times New Roman"/>
          <w:kern w:val="0"/>
          <w:sz w:val="32"/>
          <w:szCs w:val="32"/>
        </w:rPr>
      </w:pPr>
    </w:p>
    <w:p>
      <w:pPr>
        <w:widowControl/>
        <w:ind w:firstLine="0" w:firstLineChars="0"/>
        <w:rPr>
          <w:rFonts w:hint="default" w:ascii="Times New Roman" w:hAnsi="Times New Roman" w:eastAsia="仿宋_GB2312" w:cs="Times New Roman"/>
          <w:kern w:val="0"/>
          <w:sz w:val="32"/>
          <w:szCs w:val="32"/>
        </w:rPr>
      </w:pPr>
    </w:p>
    <w:p>
      <w:pPr>
        <w:widowControl/>
        <w:ind w:firstLine="0" w:firstLineChars="0"/>
        <w:rPr>
          <w:rFonts w:hint="default" w:ascii="Times New Roman" w:hAnsi="Times New Roman" w:eastAsia="仿宋_GB2312" w:cs="Times New Roman"/>
          <w:kern w:val="0"/>
          <w:sz w:val="32"/>
          <w:szCs w:val="32"/>
        </w:rPr>
      </w:pPr>
    </w:p>
    <w:p>
      <w:pPr>
        <w:widowControl/>
        <w:ind w:firstLine="0" w:firstLineChars="0"/>
        <w:rPr>
          <w:rFonts w:hint="default" w:ascii="Times New Roman" w:hAnsi="Times New Roman" w:eastAsia="仿宋_GB2312" w:cs="Times New Roman"/>
          <w:kern w:val="0"/>
          <w:sz w:val="32"/>
          <w:szCs w:val="32"/>
        </w:rPr>
      </w:pPr>
    </w:p>
    <w:p>
      <w:pPr>
        <w:widowControl/>
        <w:ind w:firstLine="0" w:firstLineChars="0"/>
        <w:rPr>
          <w:rFonts w:hint="default" w:ascii="Times New Roman" w:hAnsi="Times New Roman" w:eastAsia="仿宋_GB2312" w:cs="Times New Roman"/>
          <w:kern w:val="0"/>
          <w:sz w:val="32"/>
          <w:szCs w:val="32"/>
        </w:rPr>
      </w:pPr>
    </w:p>
    <w:p>
      <w:pPr>
        <w:widowControl/>
        <w:ind w:firstLine="0" w:firstLineChars="0"/>
        <w:rPr>
          <w:rFonts w:hint="default" w:ascii="Times New Roman" w:hAnsi="Times New Roman" w:eastAsia="仿宋_GB2312" w:cs="Times New Roman"/>
          <w:kern w:val="0"/>
          <w:sz w:val="32"/>
          <w:szCs w:val="32"/>
        </w:rPr>
      </w:pPr>
    </w:p>
    <w:p>
      <w:pPr>
        <w:widowControl/>
        <w:ind w:firstLine="0" w:firstLineChars="0"/>
        <w:rPr>
          <w:rFonts w:hint="default" w:ascii="Times New Roman" w:hAnsi="Times New Roman" w:eastAsia="仿宋_GB2312" w:cs="Times New Roman"/>
          <w:kern w:val="0"/>
          <w:sz w:val="32"/>
          <w:szCs w:val="32"/>
        </w:rPr>
      </w:pPr>
    </w:p>
    <w:p>
      <w:pPr>
        <w:widowControl/>
        <w:ind w:firstLine="0" w:firstLineChars="0"/>
        <w:rPr>
          <w:rFonts w:hint="default" w:ascii="Times New Roman" w:hAnsi="Times New Roman" w:eastAsia="仿宋_GB2312" w:cs="Times New Roman"/>
          <w:kern w:val="0"/>
          <w:sz w:val="32"/>
          <w:szCs w:val="32"/>
        </w:rPr>
      </w:pPr>
    </w:p>
    <w:p>
      <w:pPr>
        <w:widowControl/>
        <w:ind w:firstLine="0" w:firstLineChars="0"/>
        <w:rPr>
          <w:rFonts w:hint="default" w:ascii="Times New Roman" w:hAnsi="Times New Roman" w:eastAsia="仿宋_GB2312" w:cs="Times New Roman"/>
          <w:kern w:val="0"/>
          <w:sz w:val="32"/>
          <w:szCs w:val="32"/>
        </w:rPr>
      </w:pPr>
    </w:p>
    <w:p>
      <w:pPr>
        <w:adjustRightInd w:val="0"/>
        <w:snapToGrid w:val="0"/>
        <w:spacing w:line="520" w:lineRule="exact"/>
        <w:jc w:val="left"/>
        <w:rPr>
          <w:rFonts w:hint="eastAsia" w:ascii="黑体" w:hAnsi="黑体" w:eastAsia="黑体" w:cs="黑体"/>
          <w:kern w:val="0"/>
          <w:sz w:val="24"/>
          <w:szCs w:val="24"/>
        </w:rPr>
      </w:pPr>
      <w:r>
        <w:rPr>
          <w:rFonts w:hint="eastAsia" w:ascii="黑体" w:hAnsi="黑体" w:eastAsia="黑体" w:cs="黑体"/>
          <w:kern w:val="0"/>
          <w:sz w:val="32"/>
          <w:szCs w:val="32"/>
        </w:rPr>
        <w:t>附件1-3-2</w:t>
      </w:r>
    </w:p>
    <w:p>
      <w:pPr>
        <w:adjustRightInd w:val="0"/>
        <w:snapToGrid w:val="0"/>
        <w:spacing w:line="520" w:lineRule="exact"/>
        <w:jc w:val="center"/>
        <w:rPr>
          <w:rFonts w:hint="default" w:ascii="Times New Roman" w:hAnsi="Times New Roman" w:eastAsia="方正小标宋简体" w:cs="Times New Roman"/>
          <w:sz w:val="24"/>
          <w:szCs w:val="24"/>
        </w:rPr>
      </w:pPr>
      <w:r>
        <w:rPr>
          <w:rFonts w:hint="default" w:ascii="Times New Roman" w:hAnsi="Times New Roman" w:cs="Times New Roman"/>
          <w:b/>
          <w:bCs/>
          <w:kern w:val="0"/>
          <w:sz w:val="24"/>
          <w:szCs w:val="24"/>
        </w:rPr>
        <w:t>事前绩效评估项目（政策）预期绩效与管控措施申报表</w:t>
      </w:r>
    </w:p>
    <w:p>
      <w:pPr>
        <w:adjustRightInd w:val="0"/>
        <w:snapToGrid w:val="0"/>
        <w:spacing w:line="520" w:lineRule="exact"/>
        <w:rPr>
          <w:rFonts w:hint="default" w:ascii="Times New Roman" w:hAnsi="Times New Roman" w:cs="Times New Roman"/>
          <w:szCs w:val="21"/>
        </w:rPr>
      </w:pPr>
      <w:r>
        <w:rPr>
          <w:rFonts w:hint="default" w:ascii="Times New Roman" w:hAnsi="Times New Roman" w:cs="Times New Roman"/>
          <w:szCs w:val="21"/>
        </w:rPr>
        <w:t>申报单位：</w:t>
      </w:r>
      <w:r>
        <w:rPr>
          <w:rFonts w:hint="default" w:ascii="Times New Roman" w:hAnsi="Times New Roman" w:cs="Times New Roman"/>
          <w:szCs w:val="21"/>
        </w:rPr>
        <w:tab/>
      </w:r>
      <w:r>
        <w:rPr>
          <w:rFonts w:hint="default" w:ascii="Times New Roman" w:hAnsi="Times New Roman" w:cs="Times New Roman"/>
          <w:szCs w:val="21"/>
        </w:rPr>
        <w:tab/>
      </w:r>
      <w:r>
        <w:rPr>
          <w:rFonts w:hint="default" w:ascii="Times New Roman" w:hAnsi="Times New Roman" w:cs="Times New Roman"/>
          <w:szCs w:val="21"/>
        </w:rPr>
        <w:tab/>
      </w:r>
      <w:r>
        <w:rPr>
          <w:rFonts w:hint="default" w:ascii="Times New Roman" w:hAnsi="Times New Roman" w:cs="Times New Roman"/>
          <w:szCs w:val="21"/>
        </w:rPr>
        <w:tab/>
      </w:r>
    </w:p>
    <w:p>
      <w:pPr>
        <w:adjustRightInd w:val="0"/>
        <w:snapToGrid w:val="0"/>
        <w:spacing w:line="520" w:lineRule="exact"/>
        <w:rPr>
          <w:rFonts w:hint="default" w:ascii="Times New Roman" w:hAnsi="Times New Roman" w:cs="Times New Roman"/>
          <w:sz w:val="18"/>
          <w:szCs w:val="18"/>
        </w:rPr>
      </w:pPr>
      <w:r>
        <w:rPr>
          <w:rFonts w:hint="default" w:ascii="Times New Roman" w:hAnsi="Times New Roman" w:cs="Times New Roman"/>
          <w:szCs w:val="21"/>
        </w:rPr>
        <w:t>项目（政策，下同）名称：</w:t>
      </w:r>
      <w:r>
        <w:rPr>
          <w:rFonts w:hint="default" w:ascii="Times New Roman" w:hAnsi="Times New Roman" w:cs="Times New Roman"/>
          <w:szCs w:val="21"/>
        </w:rPr>
        <w:tab/>
      </w:r>
      <w:r>
        <w:rPr>
          <w:rFonts w:hint="default" w:ascii="Times New Roman" w:hAnsi="Times New Roman" w:cs="Times New Roman"/>
          <w:szCs w:val="21"/>
        </w:rPr>
        <w:tab/>
      </w:r>
      <w:r>
        <w:rPr>
          <w:rFonts w:hint="default" w:ascii="Times New Roman" w:hAnsi="Times New Roman" w:cs="Times New Roman"/>
          <w:sz w:val="18"/>
          <w:szCs w:val="18"/>
        </w:rPr>
        <w:tab/>
      </w:r>
      <w:r>
        <w:rPr>
          <w:rFonts w:hint="default" w:ascii="Times New Roman" w:hAnsi="Times New Roman" w:cs="Times New Roman"/>
          <w:sz w:val="18"/>
          <w:szCs w:val="18"/>
        </w:rPr>
        <w:tab/>
      </w:r>
    </w:p>
    <w:tbl>
      <w:tblPr>
        <w:tblStyle w:val="9"/>
        <w:tblW w:w="9286" w:type="dxa"/>
        <w:tblInd w:w="0" w:type="dxa"/>
        <w:tblLayout w:type="fixed"/>
        <w:tblCellMar>
          <w:top w:w="0" w:type="dxa"/>
          <w:left w:w="108" w:type="dxa"/>
          <w:bottom w:w="0" w:type="dxa"/>
          <w:right w:w="108" w:type="dxa"/>
        </w:tblCellMar>
      </w:tblPr>
      <w:tblGrid>
        <w:gridCol w:w="676"/>
        <w:gridCol w:w="663"/>
        <w:gridCol w:w="1060"/>
        <w:gridCol w:w="5505"/>
        <w:gridCol w:w="1382"/>
      </w:tblGrid>
      <w:tr>
        <w:tblPrEx>
          <w:tblLayout w:type="fixed"/>
          <w:tblCellMar>
            <w:top w:w="0" w:type="dxa"/>
            <w:left w:w="108" w:type="dxa"/>
            <w:bottom w:w="0" w:type="dxa"/>
            <w:right w:w="108" w:type="dxa"/>
          </w:tblCellMar>
        </w:tblPrEx>
        <w:trPr>
          <w:trHeight w:val="800" w:hRule="atLeast"/>
        </w:trPr>
        <w:tc>
          <w:tcPr>
            <w:tcW w:w="676"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一级指标</w:t>
            </w:r>
          </w:p>
        </w:tc>
        <w:tc>
          <w:tcPr>
            <w:tcW w:w="663"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二级指标</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三级</w:t>
            </w:r>
          </w:p>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指标</w:t>
            </w:r>
          </w:p>
        </w:tc>
        <w:tc>
          <w:tcPr>
            <w:tcW w:w="5505"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填报说明</w:t>
            </w:r>
          </w:p>
        </w:tc>
        <w:tc>
          <w:tcPr>
            <w:tcW w:w="138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预期绩效实行情况/管控措施阐述</w:t>
            </w:r>
          </w:p>
        </w:tc>
      </w:tr>
      <w:tr>
        <w:tblPrEx>
          <w:tblLayout w:type="fixed"/>
          <w:tblCellMar>
            <w:top w:w="0" w:type="dxa"/>
            <w:left w:w="108" w:type="dxa"/>
            <w:bottom w:w="0" w:type="dxa"/>
            <w:right w:w="108" w:type="dxa"/>
          </w:tblCellMar>
        </w:tblPrEx>
        <w:trPr>
          <w:trHeight w:val="1590" w:hRule="exact"/>
        </w:trPr>
        <w:tc>
          <w:tcPr>
            <w:tcW w:w="67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项目决策</w:t>
            </w:r>
          </w:p>
        </w:tc>
        <w:tc>
          <w:tcPr>
            <w:tcW w:w="663"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绩效目标</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目标内容</w:t>
            </w:r>
          </w:p>
        </w:tc>
        <w:tc>
          <w:tcPr>
            <w:tcW w:w="5505"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r>
              <w:rPr>
                <w:rFonts w:hint="default" w:ascii="Times New Roman" w:hAnsi="Times New Roman" w:cs="Times New Roman"/>
                <w:kern w:val="0"/>
                <w:sz w:val="18"/>
                <w:szCs w:val="18"/>
              </w:rPr>
              <w:t xml:space="preserve">    依据</w:t>
            </w:r>
            <w:r>
              <w:rPr>
                <w:rFonts w:hint="default" w:ascii="Times New Roman" w:hAnsi="Times New Roman" w:cs="Times New Roman"/>
                <w:kern w:val="0"/>
                <w:sz w:val="18"/>
                <w:szCs w:val="18"/>
                <w:lang w:eastAsia="zh-CN"/>
              </w:rPr>
              <w:t>国家、省、市</w:t>
            </w:r>
            <w:r>
              <w:rPr>
                <w:rFonts w:hint="default" w:ascii="Times New Roman" w:hAnsi="Times New Roman" w:cs="Times New Roman"/>
                <w:kern w:val="0"/>
                <w:sz w:val="18"/>
                <w:szCs w:val="18"/>
              </w:rPr>
              <w:t>国民经济和社会发展规划、部门职能及事业发展规划、项目申请理由，对项目预期总目标、阶段性目标进行简要阐述；对总体目标分解后的项目预期年度目标进行详细阐述，明确具体目标内容（数量、质量、成本、时效、效果及满意度等）及目标值。</w:t>
            </w:r>
          </w:p>
        </w:tc>
        <w:tc>
          <w:tcPr>
            <w:tcW w:w="138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b/>
                <w:bCs/>
                <w:kern w:val="0"/>
                <w:sz w:val="18"/>
                <w:szCs w:val="18"/>
              </w:rPr>
            </w:pPr>
          </w:p>
        </w:tc>
      </w:tr>
      <w:tr>
        <w:tblPrEx>
          <w:tblLayout w:type="fixed"/>
          <w:tblCellMar>
            <w:top w:w="0" w:type="dxa"/>
            <w:left w:w="108" w:type="dxa"/>
            <w:bottom w:w="0" w:type="dxa"/>
            <w:right w:w="108" w:type="dxa"/>
          </w:tblCellMar>
        </w:tblPrEx>
        <w:trPr>
          <w:trHeight w:val="1140" w:hRule="exact"/>
        </w:trPr>
        <w:tc>
          <w:tcPr>
            <w:tcW w:w="67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66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决策过程</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决策依据</w:t>
            </w:r>
          </w:p>
        </w:tc>
        <w:tc>
          <w:tcPr>
            <w:tcW w:w="5505"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r>
              <w:rPr>
                <w:rFonts w:hint="default" w:ascii="Times New Roman" w:hAnsi="Times New Roman" w:cs="Times New Roman"/>
                <w:kern w:val="0"/>
                <w:sz w:val="18"/>
                <w:szCs w:val="18"/>
              </w:rPr>
              <w:t xml:space="preserve">    对项目设立遵循的经济社会发展规划和部门年度工作计划重点内容进行简要阐述，在此基础上总结归纳项目申请理由、计划解决的问题，围绕问题说明项目实施规划的设定情况或预计设定计划。</w:t>
            </w:r>
          </w:p>
        </w:tc>
        <w:tc>
          <w:tcPr>
            <w:tcW w:w="138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　</w:t>
            </w:r>
          </w:p>
        </w:tc>
      </w:tr>
      <w:tr>
        <w:tblPrEx>
          <w:tblLayout w:type="fixed"/>
          <w:tblCellMar>
            <w:top w:w="0" w:type="dxa"/>
            <w:left w:w="108" w:type="dxa"/>
            <w:bottom w:w="0" w:type="dxa"/>
            <w:right w:w="108" w:type="dxa"/>
          </w:tblCellMar>
        </w:tblPrEx>
        <w:trPr>
          <w:trHeight w:val="1020" w:hRule="exact"/>
        </w:trPr>
        <w:tc>
          <w:tcPr>
            <w:tcW w:w="67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66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决策程序</w:t>
            </w:r>
          </w:p>
        </w:tc>
        <w:tc>
          <w:tcPr>
            <w:tcW w:w="5505"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r>
              <w:rPr>
                <w:rFonts w:hint="default" w:ascii="Times New Roman" w:hAnsi="Times New Roman" w:cs="Times New Roman"/>
                <w:kern w:val="0"/>
                <w:sz w:val="18"/>
                <w:szCs w:val="18"/>
              </w:rPr>
              <w:t xml:space="preserve">    明确阐述项目立项过程中已履行或预计履行的申请、报批程序，若在立项过程中存在调整，请详细阐述项目已履行或预计履行的调整、报批手续。</w:t>
            </w:r>
          </w:p>
        </w:tc>
        <w:tc>
          <w:tcPr>
            <w:tcW w:w="138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　</w:t>
            </w:r>
          </w:p>
        </w:tc>
      </w:tr>
      <w:tr>
        <w:tblPrEx>
          <w:tblLayout w:type="fixed"/>
          <w:tblCellMar>
            <w:top w:w="0" w:type="dxa"/>
            <w:left w:w="108" w:type="dxa"/>
            <w:bottom w:w="0" w:type="dxa"/>
            <w:right w:w="108" w:type="dxa"/>
          </w:tblCellMar>
        </w:tblPrEx>
        <w:trPr>
          <w:trHeight w:val="1240" w:hRule="exact"/>
        </w:trPr>
        <w:tc>
          <w:tcPr>
            <w:tcW w:w="676" w:type="dxa"/>
            <w:vMerge w:val="restart"/>
            <w:tcBorders>
              <w:top w:val="single" w:color="auto" w:sz="4" w:space="0"/>
              <w:left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项目管理</w:t>
            </w:r>
          </w:p>
          <w:p>
            <w:pPr>
              <w:widowControl/>
              <w:jc w:val="center"/>
              <w:rPr>
                <w:rFonts w:hint="default" w:ascii="Times New Roman" w:hAnsi="Times New Roman" w:cs="Times New Roman"/>
                <w:kern w:val="0"/>
                <w:sz w:val="18"/>
                <w:szCs w:val="18"/>
              </w:rPr>
            </w:pPr>
          </w:p>
        </w:tc>
        <w:tc>
          <w:tcPr>
            <w:tcW w:w="663" w:type="dxa"/>
            <w:vMerge w:val="restart"/>
            <w:tcBorders>
              <w:top w:val="single" w:color="auto" w:sz="4" w:space="0"/>
              <w:left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项目资金</w:t>
            </w:r>
          </w:p>
          <w:p>
            <w:pPr>
              <w:widowControl/>
              <w:jc w:val="left"/>
              <w:rPr>
                <w:rFonts w:hint="default" w:ascii="Times New Roman" w:hAnsi="Times New Roman" w:cs="Times New Roman"/>
                <w:kern w:val="0"/>
                <w:sz w:val="18"/>
                <w:szCs w:val="18"/>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预算管理</w:t>
            </w:r>
          </w:p>
        </w:tc>
        <w:tc>
          <w:tcPr>
            <w:tcW w:w="5505"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r>
              <w:rPr>
                <w:rFonts w:hint="default" w:ascii="Times New Roman" w:hAnsi="Times New Roman" w:cs="Times New Roman"/>
                <w:kern w:val="0"/>
                <w:sz w:val="18"/>
                <w:szCs w:val="18"/>
              </w:rPr>
              <w:t xml:space="preserve">    结合绩效目标及项目内容，阐述项目预算编制过程中考虑的资金分配因素、采用的资金分配方式方法，分配时依据的政策文件等；并明确预算编制详细结果，各部分内容测算金额、标准，测算依据等；同时针对项目执行计划说明预算执行计划拟定情况。</w:t>
            </w:r>
          </w:p>
        </w:tc>
        <w:tc>
          <w:tcPr>
            <w:tcW w:w="138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　</w:t>
            </w:r>
          </w:p>
        </w:tc>
      </w:tr>
      <w:tr>
        <w:tblPrEx>
          <w:tblLayout w:type="fixed"/>
          <w:tblCellMar>
            <w:top w:w="0" w:type="dxa"/>
            <w:left w:w="108" w:type="dxa"/>
            <w:bottom w:w="0" w:type="dxa"/>
            <w:right w:w="108" w:type="dxa"/>
          </w:tblCellMar>
        </w:tblPrEx>
        <w:trPr>
          <w:trHeight w:val="960" w:hRule="exact"/>
        </w:trPr>
        <w:tc>
          <w:tcPr>
            <w:tcW w:w="676" w:type="dxa"/>
            <w:vMerge w:val="continue"/>
            <w:tcBorders>
              <w:left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663" w:type="dxa"/>
            <w:vMerge w:val="continue"/>
            <w:tcBorders>
              <w:left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资金到位</w:t>
            </w:r>
          </w:p>
        </w:tc>
        <w:tc>
          <w:tcPr>
            <w:tcW w:w="5505"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r>
              <w:rPr>
                <w:rFonts w:hint="default" w:ascii="Times New Roman" w:hAnsi="Times New Roman" w:cs="Times New Roman"/>
                <w:kern w:val="0"/>
                <w:sz w:val="18"/>
                <w:szCs w:val="18"/>
              </w:rPr>
              <w:t xml:space="preserve">    若项目资金存在多渠道来源，请阐述财政性资金及其他来源资金、预计落实时间、条件等，以说明相关资金来源能够得到有效保障并能够支持项目顺利完成。</w:t>
            </w:r>
          </w:p>
        </w:tc>
        <w:tc>
          <w:tcPr>
            <w:tcW w:w="138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　</w:t>
            </w:r>
          </w:p>
        </w:tc>
      </w:tr>
      <w:tr>
        <w:tblPrEx>
          <w:tblLayout w:type="fixed"/>
          <w:tblCellMar>
            <w:top w:w="0" w:type="dxa"/>
            <w:left w:w="108" w:type="dxa"/>
            <w:bottom w:w="0" w:type="dxa"/>
            <w:right w:w="108" w:type="dxa"/>
          </w:tblCellMar>
        </w:tblPrEx>
        <w:trPr>
          <w:trHeight w:val="1240" w:hRule="exact"/>
        </w:trPr>
        <w:tc>
          <w:tcPr>
            <w:tcW w:w="676" w:type="dxa"/>
            <w:vMerge w:val="continue"/>
            <w:tcBorders>
              <w:left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663" w:type="dxa"/>
            <w:vMerge w:val="continue"/>
            <w:tcBorders>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财务管理</w:t>
            </w:r>
          </w:p>
        </w:tc>
        <w:tc>
          <w:tcPr>
            <w:tcW w:w="5505"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r>
              <w:rPr>
                <w:rFonts w:hint="default" w:ascii="Times New Roman" w:hAnsi="Times New Roman" w:cs="Times New Roman"/>
                <w:kern w:val="0"/>
                <w:sz w:val="18"/>
                <w:szCs w:val="18"/>
              </w:rPr>
              <w:t xml:space="preserve">    阐述项目预算执行可遵循的相关财务管理制度，以及计划拟定并遵照执行的财务管理规范文件；明确执行过程中预计采用的方式方法或推行的相关机制，以确保制度有效执行，促进项目会计核算、资金使用的规范性。</w:t>
            </w:r>
          </w:p>
        </w:tc>
        <w:tc>
          <w:tcPr>
            <w:tcW w:w="138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　</w:t>
            </w:r>
          </w:p>
        </w:tc>
      </w:tr>
      <w:tr>
        <w:tblPrEx>
          <w:tblLayout w:type="fixed"/>
          <w:tblCellMar>
            <w:top w:w="0" w:type="dxa"/>
            <w:left w:w="108" w:type="dxa"/>
            <w:bottom w:w="0" w:type="dxa"/>
            <w:right w:w="108" w:type="dxa"/>
          </w:tblCellMar>
        </w:tblPrEx>
        <w:trPr>
          <w:trHeight w:val="850" w:hRule="exact"/>
        </w:trPr>
        <w:tc>
          <w:tcPr>
            <w:tcW w:w="676" w:type="dxa"/>
            <w:vMerge w:val="continue"/>
            <w:tcBorders>
              <w:left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p>
        </w:tc>
        <w:tc>
          <w:tcPr>
            <w:tcW w:w="66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项目实施</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组织机构</w:t>
            </w:r>
          </w:p>
        </w:tc>
        <w:tc>
          <w:tcPr>
            <w:tcW w:w="5505"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r>
              <w:rPr>
                <w:rFonts w:hint="default" w:ascii="Times New Roman" w:hAnsi="Times New Roman" w:cs="Times New Roman"/>
                <w:kern w:val="0"/>
                <w:sz w:val="18"/>
                <w:szCs w:val="18"/>
              </w:rPr>
              <w:t xml:space="preserve">    阐述项目单位为保证项目顺利、有效实施已搭建或计划搭建的组织管理机构及内部成员分工情况。</w:t>
            </w:r>
          </w:p>
        </w:tc>
        <w:tc>
          <w:tcPr>
            <w:tcW w:w="138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　</w:t>
            </w:r>
          </w:p>
        </w:tc>
      </w:tr>
      <w:tr>
        <w:tblPrEx>
          <w:tblLayout w:type="fixed"/>
          <w:tblCellMar>
            <w:top w:w="0" w:type="dxa"/>
            <w:left w:w="108" w:type="dxa"/>
            <w:bottom w:w="0" w:type="dxa"/>
            <w:right w:w="108" w:type="dxa"/>
          </w:tblCellMar>
        </w:tblPrEx>
        <w:trPr>
          <w:trHeight w:val="1030" w:hRule="exact"/>
        </w:trPr>
        <w:tc>
          <w:tcPr>
            <w:tcW w:w="676" w:type="dxa"/>
            <w:vMerge w:val="continue"/>
            <w:tcBorders>
              <w:left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66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制度建设</w:t>
            </w:r>
          </w:p>
        </w:tc>
        <w:tc>
          <w:tcPr>
            <w:tcW w:w="5505"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r>
              <w:rPr>
                <w:rFonts w:hint="default" w:ascii="Times New Roman" w:hAnsi="Times New Roman" w:cs="Times New Roman"/>
                <w:kern w:val="0"/>
                <w:sz w:val="18"/>
                <w:szCs w:val="18"/>
              </w:rPr>
              <w:t xml:space="preserve">    阐述项目实施可遵循的相关项目管理制度，以及计划拟定并遵照执行的项目管理规范文件；结合项目绩效目标、项目内容阐述项目实施方案的设定情况或预计设定方案的时间及内容。</w:t>
            </w:r>
          </w:p>
        </w:tc>
        <w:tc>
          <w:tcPr>
            <w:tcW w:w="138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　</w:t>
            </w:r>
          </w:p>
        </w:tc>
      </w:tr>
      <w:tr>
        <w:tblPrEx>
          <w:tblLayout w:type="fixed"/>
          <w:tblCellMar>
            <w:top w:w="0" w:type="dxa"/>
            <w:left w:w="108" w:type="dxa"/>
            <w:bottom w:w="0" w:type="dxa"/>
            <w:right w:w="108" w:type="dxa"/>
          </w:tblCellMar>
        </w:tblPrEx>
        <w:trPr>
          <w:trHeight w:val="1080" w:hRule="exact"/>
        </w:trPr>
        <w:tc>
          <w:tcPr>
            <w:tcW w:w="676" w:type="dxa"/>
            <w:vMerge w:val="continue"/>
            <w:tcBorders>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66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 xml:space="preserve">过程控制 </w:t>
            </w:r>
          </w:p>
        </w:tc>
        <w:tc>
          <w:tcPr>
            <w:tcW w:w="5505"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Times New Roman" w:hAnsi="Times New Roman" w:cs="Times New Roman"/>
                <w:kern w:val="0"/>
                <w:sz w:val="18"/>
                <w:szCs w:val="18"/>
              </w:rPr>
            </w:pPr>
            <w:r>
              <w:rPr>
                <w:rFonts w:hint="default" w:ascii="Times New Roman" w:hAnsi="Times New Roman" w:cs="Times New Roman"/>
                <w:kern w:val="0"/>
                <w:sz w:val="18"/>
                <w:szCs w:val="18"/>
              </w:rPr>
              <w:t xml:space="preserve">    阐述项目实施过程中计划采用的方式方法，推行的管控措施、机制等，以确保与项目相关的各种法律、法规、制度得以严格执行；项目实施方案或实施计划得以落实；项目实施程序科学合理。</w:t>
            </w:r>
          </w:p>
        </w:tc>
        <w:tc>
          <w:tcPr>
            <w:tcW w:w="138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　</w:t>
            </w:r>
          </w:p>
        </w:tc>
      </w:tr>
    </w:tbl>
    <w:p>
      <w:pPr>
        <w:adjustRightInd w:val="0"/>
        <w:snapToGrid w:val="0"/>
        <w:spacing w:line="520" w:lineRule="exact"/>
        <w:jc w:val="left"/>
        <w:rPr>
          <w:rFonts w:hint="eastAsia" w:ascii="黑体" w:hAnsi="黑体" w:eastAsia="黑体" w:cs="黑体"/>
          <w:kern w:val="0"/>
          <w:sz w:val="32"/>
          <w:szCs w:val="32"/>
        </w:rPr>
      </w:pPr>
      <w:r>
        <w:rPr>
          <w:rFonts w:hint="eastAsia" w:ascii="黑体" w:hAnsi="黑体" w:eastAsia="黑体" w:cs="黑体"/>
          <w:kern w:val="0"/>
          <w:sz w:val="32"/>
          <w:szCs w:val="32"/>
        </w:rPr>
        <w:t>附件1-3-3</w:t>
      </w:r>
    </w:p>
    <w:p>
      <w:pPr>
        <w:adjustRightInd w:val="0"/>
        <w:snapToGrid w:val="0"/>
        <w:spacing w:line="520" w:lineRule="exact"/>
        <w:jc w:val="left"/>
        <w:rPr>
          <w:rFonts w:hint="eastAsia" w:ascii="黑体" w:hAnsi="黑体" w:eastAsia="黑体" w:cs="黑体"/>
          <w:w w:val="99"/>
          <w:sz w:val="32"/>
          <w:szCs w:val="32"/>
        </w:rPr>
      </w:pPr>
    </w:p>
    <w:p>
      <w:pPr>
        <w:jc w:val="center"/>
        <w:rPr>
          <w:rFonts w:hint="default" w:ascii="Times New Roman" w:hAnsi="Times New Roman" w:cs="Times New Roman"/>
          <w:b/>
          <w:sz w:val="44"/>
          <w:szCs w:val="44"/>
        </w:rPr>
      </w:pPr>
      <w:r>
        <w:rPr>
          <w:rFonts w:hint="default" w:ascii="Times New Roman" w:hAnsi="Times New Roman" w:cs="Times New Roman"/>
          <w:b/>
          <w:sz w:val="44"/>
          <w:szCs w:val="44"/>
        </w:rPr>
        <w:t>事前绩效评估项目（政策）预期绩效报告</w:t>
      </w:r>
    </w:p>
    <w:p>
      <w:pPr>
        <w:jc w:val="center"/>
        <w:outlineLvl w:val="0"/>
        <w:rPr>
          <w:rFonts w:hint="default" w:ascii="Times New Roman" w:hAnsi="Times New Roman" w:eastAsia="仿宋_GB2312" w:cs="Times New Roman"/>
          <w:sz w:val="32"/>
          <w:szCs w:val="32"/>
        </w:rPr>
      </w:pPr>
      <w:r>
        <w:rPr>
          <w:rFonts w:hint="default" w:ascii="Times New Roman" w:hAnsi="Times New Roman" w:eastAsia="仿宋" w:cs="Times New Roman"/>
          <w:bCs/>
          <w:sz w:val="32"/>
          <w:szCs w:val="32"/>
        </w:rPr>
        <w:t>（参考提纲）</w:t>
      </w:r>
    </w:p>
    <w:p>
      <w:pPr>
        <w:ind w:firstLine="555"/>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项目（政策，下同）名称：</w:t>
      </w:r>
    </w:p>
    <w:p>
      <w:pPr>
        <w:ind w:firstLine="555"/>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项目单位（盖章）：</w:t>
      </w:r>
    </w:p>
    <w:p>
      <w:pPr>
        <w:ind w:firstLine="555"/>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项目负责人：</w:t>
      </w:r>
    </w:p>
    <w:p>
      <w:pPr>
        <w:ind w:firstLine="555"/>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填报时间：</w:t>
      </w:r>
    </w:p>
    <w:p>
      <w:p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一、项目和政策（以下简称“项目”）基本情况</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说明项目背景、项目主要内容等。</w:t>
      </w:r>
    </w:p>
    <w:p>
      <w:p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二、项目实施的相关性</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说明项目的立项依据，项目与部门职能、相关政策及规划、现实需求、</w:t>
      </w:r>
      <w:r>
        <w:rPr>
          <w:rFonts w:hint="eastAsia" w:ascii="Times New Roman" w:hAnsi="Times New Roman" w:eastAsia="仿宋_GB2312" w:cs="Times New Roman"/>
          <w:sz w:val="32"/>
          <w:szCs w:val="32"/>
          <w:lang w:eastAsia="zh-CN"/>
        </w:rPr>
        <w:t>各级</w:t>
      </w:r>
      <w:r>
        <w:rPr>
          <w:rFonts w:hint="default" w:ascii="Times New Roman" w:hAnsi="Times New Roman" w:eastAsia="仿宋_GB2312" w:cs="Times New Roman"/>
          <w:sz w:val="32"/>
          <w:szCs w:val="32"/>
        </w:rPr>
        <w:t>财政资金是否应该投入等方面的相关性等。</w:t>
      </w:r>
    </w:p>
    <w:p>
      <w:p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三、项目绩效目标</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说明项目的总体绩效目标以及具体指标，绩效目标内容应具体明确、符合项目现实需求及部门长期规划和年度工作目标；指标内容应具体细化、量化，并且要有可衡量的评价标准。说明设定项目绩效目标所考虑的因素，如何根据需求设定，设定的绩效目标是否具有可考核性和可实现性等。</w:t>
      </w:r>
    </w:p>
    <w:p>
      <w:p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四、项目实施方案的有效性</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说明项目决策程序，实施程序，人、财、物等基础条件保障情况，相关管理制度建设情况，以及对不确定因素和风险的控制措施等。</w:t>
      </w:r>
    </w:p>
    <w:p>
      <w:p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五、项目预期绩效的可持续性</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说明与项目相关的政策、行业环境等方面的可持续性，预期产出及效果的可持续性，组织管理机构、运行机制的可持续性。</w:t>
      </w:r>
    </w:p>
    <w:p>
      <w:p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六、项目预算</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说明项目的预算构成，预算测算依据和标准，财政支持的范围和方式，</w:t>
      </w:r>
      <w:r>
        <w:rPr>
          <w:rFonts w:hint="eastAsia" w:ascii="Times New Roman" w:hAnsi="Times New Roman" w:eastAsia="仿宋_GB2312" w:cs="Times New Roman"/>
          <w:color w:val="auto"/>
          <w:sz w:val="32"/>
          <w:szCs w:val="32"/>
          <w:highlight w:val="none"/>
          <w:lang w:eastAsia="zh-CN"/>
        </w:rPr>
        <w:t>各级</w:t>
      </w:r>
      <w:r>
        <w:rPr>
          <w:rFonts w:hint="default" w:ascii="Times New Roman" w:hAnsi="Times New Roman" w:eastAsia="仿宋_GB2312" w:cs="Times New Roman"/>
          <w:sz w:val="32"/>
          <w:szCs w:val="32"/>
        </w:rPr>
        <w:t>两级财政经费保障渠道和方式等。</w:t>
      </w:r>
    </w:p>
    <w:p>
      <w:pPr>
        <w:ind w:right="42" w:rightChars="20"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七、其他内容</w:t>
      </w:r>
    </w:p>
    <w:p>
      <w:pPr>
        <w:spacing w:line="560" w:lineRule="exact"/>
        <w:jc w:val="left"/>
        <w:rPr>
          <w:rFonts w:hint="default" w:ascii="Times New Roman" w:hAnsi="Times New Roman" w:eastAsia="黑体" w:cs="Times New Roman"/>
          <w:bCs/>
          <w:color w:val="000000"/>
          <w:sz w:val="32"/>
          <w:szCs w:val="32"/>
        </w:rPr>
      </w:pPr>
    </w:p>
    <w:p>
      <w:pPr>
        <w:spacing w:line="560" w:lineRule="exact"/>
        <w:jc w:val="left"/>
        <w:rPr>
          <w:rFonts w:hint="default" w:ascii="Times New Roman" w:hAnsi="Times New Roman" w:eastAsia="黑体" w:cs="Times New Roman"/>
          <w:bCs/>
          <w:color w:val="000000"/>
          <w:sz w:val="32"/>
          <w:szCs w:val="32"/>
        </w:rPr>
      </w:pPr>
    </w:p>
    <w:p>
      <w:pPr>
        <w:spacing w:line="560" w:lineRule="exact"/>
        <w:jc w:val="left"/>
        <w:rPr>
          <w:rFonts w:hint="default" w:ascii="Times New Roman" w:hAnsi="Times New Roman" w:eastAsia="黑体" w:cs="Times New Roman"/>
          <w:bCs/>
          <w:color w:val="000000"/>
          <w:sz w:val="32"/>
          <w:szCs w:val="32"/>
        </w:rPr>
      </w:pPr>
    </w:p>
    <w:p>
      <w:pPr>
        <w:spacing w:line="560" w:lineRule="exact"/>
        <w:jc w:val="left"/>
        <w:rPr>
          <w:rFonts w:hint="default" w:ascii="Times New Roman" w:hAnsi="Times New Roman" w:eastAsia="黑体" w:cs="Times New Roman"/>
          <w:bCs/>
          <w:color w:val="000000"/>
          <w:sz w:val="32"/>
          <w:szCs w:val="32"/>
        </w:rPr>
      </w:pPr>
    </w:p>
    <w:p>
      <w:pPr>
        <w:rPr>
          <w:rFonts w:hint="default" w:ascii="Times New Roman" w:hAnsi="Times New Roman" w:cs="Times New Roman"/>
        </w:rPr>
      </w:pPr>
    </w:p>
    <w:sectPr>
      <w:footerReference r:id="rId3" w:type="default"/>
      <w:footerReference r:id="rId4" w:type="even"/>
      <w:pgSz w:w="11906" w:h="16838"/>
      <w:pgMar w:top="1701" w:right="1417" w:bottom="1701" w:left="1417" w:header="851" w:footer="1531"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DLF-32769-4-1526233277+ZDAAjP-4">
    <w:altName w:val="黑体"/>
    <w:panose1 w:val="00000000000000000000"/>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304800" cy="262890"/>
              <wp:effectExtent l="0" t="0" r="0" b="0"/>
              <wp:wrapNone/>
              <wp:docPr id="3" name="文本框 2050"/>
              <wp:cNvGraphicFramePr/>
              <a:graphic xmlns:a="http://schemas.openxmlformats.org/drawingml/2006/main">
                <a:graphicData uri="http://schemas.microsoft.com/office/word/2010/wordprocessingShape">
                  <wps:wsp>
                    <wps:cNvSpPr txBox="1"/>
                    <wps:spPr>
                      <a:xfrm>
                        <a:off x="0" y="0"/>
                        <a:ext cx="304800" cy="262890"/>
                      </a:xfrm>
                      <a:prstGeom prst="rect">
                        <a:avLst/>
                      </a:prstGeom>
                      <a:noFill/>
                      <a:ln w="9525">
                        <a:noFill/>
                      </a:ln>
                    </wps:spPr>
                    <wps:txbx>
                      <w:txbxContent>
                        <w:p>
                          <w:pPr>
                            <w:pStyle w:val="3"/>
                            <w:jc w:val="center"/>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128</w:t>
                          </w:r>
                          <w:r>
                            <w:rPr>
                              <w:rFonts w:hint="default" w:ascii="Times New Roman" w:hAnsi="Times New Roman" w:cs="Times New Roman"/>
                              <w:sz w:val="24"/>
                              <w:szCs w:val="24"/>
                            </w:rPr>
                            <w:fldChar w:fldCharType="end"/>
                          </w:r>
                        </w:p>
                      </w:txbxContent>
                    </wps:txbx>
                    <wps:bodyPr wrap="none" lIns="0" tIns="0" rIns="0" bIns="0" upright="0">
                      <a:spAutoFit/>
                    </wps:bodyPr>
                  </wps:wsp>
                </a:graphicData>
              </a:graphic>
            </wp:anchor>
          </w:drawing>
        </mc:Choice>
        <mc:Fallback>
          <w:pict>
            <v:shape id="文本框 2050" o:spid="_x0000_s1026" o:spt="202" type="#_x0000_t202" style="position:absolute;left:0pt;margin-top:0pt;height:20.7pt;width:24pt;mso-position-horizontal:outside;mso-position-horizontal-relative:margin;mso-wrap-style:none;z-index:251658240;mso-width-relative:page;mso-height-relative:page;" filled="f" stroked="f" coordsize="21600,21600" o:gfxdata="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e/Zcj0AAAAAMBAAAPAAAAAAAAAAEAIAAAACIAAABkcnMvZG93bnJldi54bWxQSwECFAAUAAAA&#10;CACHTuJAPkcSob0BAABVAwAADgAAAAAAAAABACAAAAAfAQAAZHJzL2Uyb0RvYy54bWxQSwUGAAAA&#10;AAYABgBZAQAATgUAAAAA&#10;">
              <v:fill on="f" focussize="0,0"/>
              <v:stroke on="f"/>
              <v:imagedata o:title=""/>
              <o:lock v:ext="edit" aspectratio="f"/>
              <v:textbox inset="0mm,0mm,0mm,0mm" style="mso-fit-shape-to-text:t;">
                <w:txbxContent>
                  <w:p>
                    <w:pPr>
                      <w:pStyle w:val="3"/>
                      <w:jc w:val="center"/>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128</w:t>
                    </w:r>
                    <w:r>
                      <w:rPr>
                        <w:rFonts w:hint="default" w:ascii="Times New Roman" w:hAnsi="Times New Roman" w:cs="Times New Roman"/>
                        <w:sz w:val="24"/>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Fonts w:hint="eastAsia" w:ascii="仿宋_GB2312" w:eastAsia="仿宋_GB2312"/>
        <w:sz w:val="28"/>
        <w:szCs w:val="28"/>
      </w:rPr>
    </w:pPr>
    <w:r>
      <w:rPr>
        <w:rFonts w:hint="eastAsia" w:ascii="仿宋_GB2312" w:eastAsia="仿宋_GB2312"/>
        <w:sz w:val="28"/>
        <w:szCs w:val="28"/>
      </w:rPr>
      <w:fldChar w:fldCharType="begin"/>
    </w:r>
    <w:r>
      <w:rPr>
        <w:rStyle w:val="7"/>
        <w:rFonts w:hint="eastAsia" w:ascii="仿宋_GB2312" w:eastAsia="仿宋_GB2312"/>
        <w:sz w:val="28"/>
        <w:szCs w:val="28"/>
      </w:rPr>
      <w:instrText xml:space="preserve">PAGE  </w:instrText>
    </w:r>
    <w:r>
      <w:rPr>
        <w:rFonts w:hint="eastAsia" w:ascii="仿宋_GB2312" w:eastAsia="仿宋_GB2312"/>
        <w:sz w:val="28"/>
        <w:szCs w:val="28"/>
      </w:rPr>
      <w:fldChar w:fldCharType="separate"/>
    </w:r>
    <w:r>
      <w:rPr>
        <w:rStyle w:val="7"/>
        <w:rFonts w:ascii="仿宋_GB2312" w:eastAsia="仿宋_GB2312"/>
        <w:sz w:val="28"/>
        <w:szCs w:val="28"/>
      </w:rPr>
      <w:t>- 2 -</w:t>
    </w:r>
    <w:r>
      <w:rPr>
        <w:rFonts w:hint="eastAsia" w:ascii="仿宋_GB2312" w:eastAsia="仿宋_GB2312"/>
        <w:sz w:val="28"/>
        <w:szCs w:val="28"/>
      </w:rPr>
      <w:fldChar w:fldCharType="end"/>
    </w:r>
  </w:p>
  <w:p>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426ED3"/>
    <w:rsid w:val="04844826"/>
    <w:rsid w:val="05470076"/>
    <w:rsid w:val="059C426F"/>
    <w:rsid w:val="067151DA"/>
    <w:rsid w:val="06D93916"/>
    <w:rsid w:val="07312143"/>
    <w:rsid w:val="080F125C"/>
    <w:rsid w:val="0816417A"/>
    <w:rsid w:val="0841044B"/>
    <w:rsid w:val="094E19D4"/>
    <w:rsid w:val="09FC54A3"/>
    <w:rsid w:val="0A0E42BF"/>
    <w:rsid w:val="0AFB51A7"/>
    <w:rsid w:val="0BED2E99"/>
    <w:rsid w:val="0C532BD8"/>
    <w:rsid w:val="0C710019"/>
    <w:rsid w:val="0DAC5E02"/>
    <w:rsid w:val="0F2D0C47"/>
    <w:rsid w:val="10526DA3"/>
    <w:rsid w:val="10D30091"/>
    <w:rsid w:val="11FD1630"/>
    <w:rsid w:val="12953EA4"/>
    <w:rsid w:val="13083660"/>
    <w:rsid w:val="133C2A01"/>
    <w:rsid w:val="14311092"/>
    <w:rsid w:val="150114E2"/>
    <w:rsid w:val="151148CA"/>
    <w:rsid w:val="16523BF7"/>
    <w:rsid w:val="16B91A73"/>
    <w:rsid w:val="185F2F18"/>
    <w:rsid w:val="18A6056A"/>
    <w:rsid w:val="199E24BD"/>
    <w:rsid w:val="19DB49E6"/>
    <w:rsid w:val="19FA6D20"/>
    <w:rsid w:val="1FED2F67"/>
    <w:rsid w:val="1FF50A56"/>
    <w:rsid w:val="20535303"/>
    <w:rsid w:val="218479F0"/>
    <w:rsid w:val="22311527"/>
    <w:rsid w:val="224F74D2"/>
    <w:rsid w:val="24B00C74"/>
    <w:rsid w:val="257E59AA"/>
    <w:rsid w:val="25974B10"/>
    <w:rsid w:val="25A96B45"/>
    <w:rsid w:val="26C302FC"/>
    <w:rsid w:val="272D2596"/>
    <w:rsid w:val="281C6022"/>
    <w:rsid w:val="28D22C5C"/>
    <w:rsid w:val="294D387B"/>
    <w:rsid w:val="2A131FAE"/>
    <w:rsid w:val="2B0A4947"/>
    <w:rsid w:val="2B365EC3"/>
    <w:rsid w:val="2B875682"/>
    <w:rsid w:val="2C9110BB"/>
    <w:rsid w:val="2CCB53EB"/>
    <w:rsid w:val="301A6D40"/>
    <w:rsid w:val="33560992"/>
    <w:rsid w:val="35681925"/>
    <w:rsid w:val="357739C4"/>
    <w:rsid w:val="36704868"/>
    <w:rsid w:val="36935ECF"/>
    <w:rsid w:val="37404249"/>
    <w:rsid w:val="375F3EE7"/>
    <w:rsid w:val="394363FC"/>
    <w:rsid w:val="3C382DE6"/>
    <w:rsid w:val="3CAD12C6"/>
    <w:rsid w:val="3E28080E"/>
    <w:rsid w:val="3E590201"/>
    <w:rsid w:val="404375B6"/>
    <w:rsid w:val="41D16C58"/>
    <w:rsid w:val="423F3CA9"/>
    <w:rsid w:val="42850F4F"/>
    <w:rsid w:val="43B953D2"/>
    <w:rsid w:val="43C12DD7"/>
    <w:rsid w:val="44D434B7"/>
    <w:rsid w:val="46D316B7"/>
    <w:rsid w:val="46D90B28"/>
    <w:rsid w:val="48A76893"/>
    <w:rsid w:val="49011232"/>
    <w:rsid w:val="49476CFA"/>
    <w:rsid w:val="49D929F5"/>
    <w:rsid w:val="4A0B1B40"/>
    <w:rsid w:val="4A426ED3"/>
    <w:rsid w:val="4A9F54D8"/>
    <w:rsid w:val="4AB7318B"/>
    <w:rsid w:val="4CCB6384"/>
    <w:rsid w:val="4CEB4487"/>
    <w:rsid w:val="4FE508CC"/>
    <w:rsid w:val="54470326"/>
    <w:rsid w:val="552A1EFA"/>
    <w:rsid w:val="561F717D"/>
    <w:rsid w:val="56E111B1"/>
    <w:rsid w:val="57A03E87"/>
    <w:rsid w:val="58123491"/>
    <w:rsid w:val="5C8060A7"/>
    <w:rsid w:val="5E3D2384"/>
    <w:rsid w:val="602F1040"/>
    <w:rsid w:val="60407EC4"/>
    <w:rsid w:val="625C25DB"/>
    <w:rsid w:val="63F46D43"/>
    <w:rsid w:val="645827AC"/>
    <w:rsid w:val="65EF0F47"/>
    <w:rsid w:val="67204712"/>
    <w:rsid w:val="67523F12"/>
    <w:rsid w:val="684F5A3F"/>
    <w:rsid w:val="68B67950"/>
    <w:rsid w:val="68F41E5D"/>
    <w:rsid w:val="695444AF"/>
    <w:rsid w:val="6A203F77"/>
    <w:rsid w:val="6AB247AA"/>
    <w:rsid w:val="6BCA0B4B"/>
    <w:rsid w:val="6BFE5FB8"/>
    <w:rsid w:val="6C247ED7"/>
    <w:rsid w:val="6C6543AD"/>
    <w:rsid w:val="6CD50D04"/>
    <w:rsid w:val="6DC77C15"/>
    <w:rsid w:val="6F533A01"/>
    <w:rsid w:val="70B53027"/>
    <w:rsid w:val="7182008E"/>
    <w:rsid w:val="72071C3E"/>
    <w:rsid w:val="74851647"/>
    <w:rsid w:val="75280868"/>
    <w:rsid w:val="75503430"/>
    <w:rsid w:val="76204532"/>
    <w:rsid w:val="76220DD6"/>
    <w:rsid w:val="762C2A70"/>
    <w:rsid w:val="78FD759A"/>
    <w:rsid w:val="7A01498B"/>
    <w:rsid w:val="7A6578F7"/>
    <w:rsid w:val="7A7C58C5"/>
    <w:rsid w:val="7ABB41D7"/>
    <w:rsid w:val="7B723CA9"/>
    <w:rsid w:val="7DEA5195"/>
    <w:rsid w:val="7E0C157B"/>
    <w:rsid w:val="7E6A5C92"/>
    <w:rsid w:val="7F18635B"/>
    <w:rsid w:val="7F5011B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character" w:default="1" w:styleId="5">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qFormat/>
    <w:uiPriority w:val="0"/>
    <w:pPr>
      <w:ind w:firstLine="645"/>
    </w:pPr>
    <w:rPr>
      <w:rFonts w:ascii="仿宋_GB2312" w:eastAsia="仿宋_GB2312"/>
      <w:kern w:val="2"/>
      <w:sz w:val="32"/>
      <w:szCs w:val="32"/>
      <w:lang w:val="en-US" w:eastAsia="zh-CN" w:bidi="ar-SA"/>
    </w:rPr>
  </w:style>
  <w:style w:type="paragraph" w:styleId="3">
    <w:name w:val="footer"/>
    <w:basedOn w:val="1"/>
    <w:qFormat/>
    <w:uiPriority w:val="0"/>
    <w:pPr>
      <w:tabs>
        <w:tab w:val="center" w:pos="4153"/>
        <w:tab w:val="right" w:pos="8306"/>
      </w:tabs>
      <w:snapToGrid w:val="0"/>
      <w:jc w:val="left"/>
    </w:pPr>
    <w:rPr>
      <w:rFonts w:eastAsia="宋体"/>
      <w:kern w:val="2"/>
      <w:sz w:val="18"/>
      <w:lang w:val="en-US" w:eastAsia="zh-CN" w:bidi="ar-SA"/>
    </w:rPr>
  </w:style>
  <w:style w:type="paragraph" w:styleId="4">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character" w:styleId="6">
    <w:name w:val="Strong"/>
    <w:basedOn w:val="5"/>
    <w:qFormat/>
    <w:uiPriority w:val="0"/>
    <w:rPr>
      <w:b/>
      <w:bCs/>
    </w:rPr>
  </w:style>
  <w:style w:type="character" w:styleId="7">
    <w:name w:val="page number"/>
    <w:basedOn w:val="5"/>
    <w:qFormat/>
    <w:uiPriority w:val="0"/>
  </w:style>
  <w:style w:type="character" w:styleId="8">
    <w:name w:val="annotation reference"/>
    <w:basedOn w:val="5"/>
    <w:qFormat/>
    <w:uiPriority w:val="0"/>
    <w:rPr>
      <w:sz w:val="21"/>
      <w:szCs w:val="21"/>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11">
    <w:name w:val="正文 New New New New"/>
    <w:qFormat/>
    <w:uiPriority w:val="0"/>
    <w:pPr>
      <w:widowControl w:val="0"/>
      <w:jc w:val="both"/>
    </w:pPr>
    <w:rPr>
      <w:rFonts w:cs="黑体" w:asciiTheme="minorHAnsi" w:hAnsiTheme="minorHAnsi" w:eastAsiaTheme="minorEastAsia"/>
      <w:kern w:val="2"/>
      <w:sz w:val="21"/>
      <w:szCs w:val="22"/>
      <w:lang w:val="en-US" w:eastAsia="zh-CN" w:bidi="ar-SA"/>
    </w:rPr>
  </w:style>
  <w:style w:type="paragraph" w:customStyle="1" w:styleId="12">
    <w:name w:val="正文 New New New"/>
    <w:qFormat/>
    <w:uiPriority w:val="0"/>
    <w:pPr>
      <w:wordWrap w:val="0"/>
      <w:snapToGrid w:val="0"/>
      <w:spacing w:line="580" w:lineRule="atLeast"/>
      <w:ind w:firstLine="640"/>
      <w:jc w:val="both"/>
    </w:pPr>
    <w:rPr>
      <w:rFonts w:ascii="仿宋_GB2312" w:hAnsi="Arial" w:eastAsia="仿宋_GB2312" w:cs="Arial"/>
      <w:sz w:val="28"/>
      <w:szCs w:val="28"/>
      <w:lang w:val="en-US" w:eastAsia="zh-CN" w:bidi="ar-SA"/>
    </w:rPr>
  </w:style>
  <w:style w:type="character" w:customStyle="1" w:styleId="13">
    <w:name w:val="font61"/>
    <w:basedOn w:val="5"/>
    <w:qFormat/>
    <w:uiPriority w:val="0"/>
    <w:rPr>
      <w:rFonts w:hint="eastAsia" w:ascii="宋体" w:hAnsi="宋体" w:eastAsia="宋体" w:cs="宋体"/>
      <w:color w:val="000000"/>
      <w:sz w:val="14"/>
      <w:szCs w:val="14"/>
      <w:u w:val="none"/>
    </w:rPr>
  </w:style>
  <w:style w:type="character" w:customStyle="1" w:styleId="14">
    <w:name w:val="font111"/>
    <w:basedOn w:val="5"/>
    <w:qFormat/>
    <w:uiPriority w:val="0"/>
    <w:rPr>
      <w:rFonts w:hint="eastAsia" w:ascii="宋体" w:hAnsi="宋体" w:eastAsia="宋体" w:cs="宋体"/>
      <w:color w:val="000000"/>
      <w:sz w:val="32"/>
      <w:szCs w:val="32"/>
      <w:u w:val="none"/>
    </w:rPr>
  </w:style>
  <w:style w:type="character" w:customStyle="1" w:styleId="15">
    <w:name w:val="font121"/>
    <w:basedOn w:val="5"/>
    <w:qFormat/>
    <w:uiPriority w:val="0"/>
    <w:rPr>
      <w:rFonts w:hint="eastAsia" w:ascii="宋体" w:hAnsi="宋体" w:eastAsia="宋体" w:cs="宋体"/>
      <w:color w:val="000000"/>
      <w:sz w:val="24"/>
      <w:szCs w:val="24"/>
      <w:u w:val="none"/>
    </w:rPr>
  </w:style>
  <w:style w:type="character" w:customStyle="1" w:styleId="16">
    <w:name w:val="font11"/>
    <w:basedOn w:val="5"/>
    <w:qFormat/>
    <w:uiPriority w:val="0"/>
    <w:rPr>
      <w:rFonts w:hint="eastAsia" w:ascii="宋体" w:hAnsi="宋体" w:eastAsia="宋体" w:cs="宋体"/>
      <w:b/>
      <w:color w:val="000000"/>
      <w:sz w:val="32"/>
      <w:szCs w:val="32"/>
      <w:u w:val="none"/>
    </w:rPr>
  </w:style>
  <w:style w:type="character" w:customStyle="1" w:styleId="17">
    <w:name w:val="font31"/>
    <w:basedOn w:val="5"/>
    <w:qFormat/>
    <w:uiPriority w:val="0"/>
    <w:rPr>
      <w:rFonts w:hint="eastAsia" w:ascii="宋体" w:hAnsi="宋体" w:eastAsia="宋体" w:cs="宋体"/>
      <w:color w:val="000000"/>
      <w:sz w:val="32"/>
      <w:szCs w:val="3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2019-10-12T02:43:00Z</dcterms:created>
  <dc:creator>绩效管理处-赵焱</dc:creator>
  <cp:lastModifiedBy>绩效管理科-王栋</cp:lastModifiedBy>
  <dcterms:modified xsi:type="dcterms:W3CDTF">2020-06-24T07:44:24Z</dcterms:modified>
  <dc:title>辽宁省财政厅文件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2052-10.8.0.5838</vt:lpwstr>
  </property>
</Properties>
</file>